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C402" w14:textId="7490EFEB" w:rsidR="00D14711" w:rsidRDefault="00671674">
      <w:pPr>
        <w:rPr>
          <w:b/>
          <w:i/>
          <w:sz w:val="32"/>
          <w:szCs w:val="32"/>
        </w:rPr>
      </w:pPr>
      <w:r>
        <w:rPr>
          <w:b/>
          <w:i/>
        </w:rPr>
        <w:tab/>
      </w:r>
      <w:r>
        <w:rPr>
          <w:b/>
          <w:i/>
        </w:rPr>
        <w:tab/>
      </w:r>
      <w:r w:rsidR="00D14711">
        <w:rPr>
          <w:b/>
          <w:i/>
          <w:sz w:val="32"/>
          <w:szCs w:val="32"/>
        </w:rPr>
        <w:t xml:space="preserve">     </w:t>
      </w:r>
      <w:r w:rsidR="008D4D03">
        <w:rPr>
          <w:b/>
          <w:i/>
          <w:sz w:val="32"/>
          <w:szCs w:val="32"/>
        </w:rPr>
        <w:t xml:space="preserve">  </w:t>
      </w:r>
      <w:r w:rsidR="00D14711">
        <w:rPr>
          <w:b/>
          <w:i/>
          <w:sz w:val="32"/>
          <w:szCs w:val="32"/>
        </w:rPr>
        <w:t>The Tyranny of Experts –</w:t>
      </w:r>
    </w:p>
    <w:p w14:paraId="2247F0B3" w14:textId="700EC82D" w:rsidR="00671674" w:rsidRDefault="00D14711">
      <w:pPr>
        <w:rPr>
          <w:b/>
          <w:i/>
          <w:sz w:val="32"/>
          <w:szCs w:val="32"/>
        </w:rPr>
      </w:pPr>
      <w:r>
        <w:rPr>
          <w:b/>
          <w:i/>
          <w:sz w:val="32"/>
          <w:szCs w:val="32"/>
        </w:rPr>
        <w:t xml:space="preserve">   Challenges and Achievements</w:t>
      </w:r>
      <w:r w:rsidR="008D4D03">
        <w:rPr>
          <w:b/>
          <w:i/>
          <w:sz w:val="32"/>
          <w:szCs w:val="32"/>
        </w:rPr>
        <w:t xml:space="preserve"> in First Nations</w:t>
      </w:r>
      <w:r w:rsidR="00671674">
        <w:rPr>
          <w:b/>
          <w:i/>
          <w:sz w:val="32"/>
          <w:szCs w:val="32"/>
        </w:rPr>
        <w:t xml:space="preserve"> Education</w:t>
      </w:r>
    </w:p>
    <w:p w14:paraId="762D8F4B" w14:textId="77777777" w:rsidR="000E29BB" w:rsidRDefault="000E29BB">
      <w:pPr>
        <w:rPr>
          <w:b/>
          <w:i/>
          <w:sz w:val="32"/>
          <w:szCs w:val="32"/>
        </w:rPr>
      </w:pPr>
    </w:p>
    <w:p w14:paraId="3CE9B920" w14:textId="54106F3E" w:rsidR="00671674" w:rsidRPr="002B1C25" w:rsidRDefault="00671674">
      <w:pPr>
        <w:rPr>
          <w:b/>
          <w:i/>
        </w:rPr>
      </w:pPr>
      <w:r>
        <w:rPr>
          <w:b/>
          <w:i/>
          <w:sz w:val="32"/>
          <w:szCs w:val="32"/>
        </w:rPr>
        <w:tab/>
      </w:r>
      <w:r>
        <w:rPr>
          <w:b/>
          <w:i/>
          <w:sz w:val="32"/>
          <w:szCs w:val="32"/>
        </w:rPr>
        <w:tab/>
      </w:r>
      <w:r>
        <w:rPr>
          <w:b/>
          <w:i/>
          <w:sz w:val="32"/>
          <w:szCs w:val="32"/>
        </w:rPr>
        <w:tab/>
      </w:r>
      <w:r>
        <w:rPr>
          <w:b/>
          <w:i/>
          <w:sz w:val="32"/>
          <w:szCs w:val="32"/>
        </w:rPr>
        <w:tab/>
      </w:r>
      <w:r w:rsidR="00995C37">
        <w:rPr>
          <w:b/>
          <w:i/>
        </w:rPr>
        <w:t>Dr J</w:t>
      </w:r>
      <w:r w:rsidRPr="002B1C25">
        <w:rPr>
          <w:b/>
          <w:i/>
        </w:rPr>
        <w:t>eff McMullen</w:t>
      </w:r>
      <w:r w:rsidR="00995C37">
        <w:rPr>
          <w:b/>
          <w:i/>
        </w:rPr>
        <w:t xml:space="preserve"> AM</w:t>
      </w:r>
      <w:bookmarkStart w:id="0" w:name="_GoBack"/>
      <w:bookmarkEnd w:id="0"/>
    </w:p>
    <w:p w14:paraId="6D6FE002" w14:textId="77777777" w:rsidR="00671674" w:rsidRDefault="00671674">
      <w:pPr>
        <w:rPr>
          <w:b/>
        </w:rPr>
      </w:pPr>
    </w:p>
    <w:p w14:paraId="74B44F75" w14:textId="77777777" w:rsidR="000E29BB" w:rsidRDefault="006921FC">
      <w:r>
        <w:t xml:space="preserve">Every child has a </w:t>
      </w:r>
      <w:r w:rsidR="00671674">
        <w:t>right</w:t>
      </w:r>
      <w:r w:rsidR="008D4D03">
        <w:t xml:space="preserve"> to health and </w:t>
      </w:r>
      <w:r>
        <w:t>a good</w:t>
      </w:r>
      <w:r w:rsidR="00671674">
        <w:t xml:space="preserve"> education. While this is a given, you say, clearly after</w:t>
      </w:r>
      <w:r w:rsidR="001B0B31">
        <w:t xml:space="preserve"> more than two centuries the top-down</w:t>
      </w:r>
      <w:r w:rsidR="008D4D03">
        <w:t>, assimilationist policies</w:t>
      </w:r>
      <w:r w:rsidR="00D3310A">
        <w:t xml:space="preserve"> inflicted</w:t>
      </w:r>
      <w:r w:rsidR="001B0B31">
        <w:t xml:space="preserve"> by </w:t>
      </w:r>
      <w:r w:rsidR="008D4D03">
        <w:t xml:space="preserve">a long line of </w:t>
      </w:r>
      <w:r w:rsidR="003C7C60">
        <w:t xml:space="preserve">Australian </w:t>
      </w:r>
      <w:r w:rsidR="001B0B31">
        <w:t>Government</w:t>
      </w:r>
      <w:r w:rsidR="008D4D03">
        <w:t>s and technocrats have</w:t>
      </w:r>
      <w:r w:rsidR="001B0B31">
        <w:t xml:space="preserve"> failed miserably to create </w:t>
      </w:r>
      <w:r>
        <w:t xml:space="preserve">even the opportunity for </w:t>
      </w:r>
      <w:r w:rsidR="001B0B31">
        <w:t>equity</w:t>
      </w:r>
      <w:r>
        <w:t>,</w:t>
      </w:r>
      <w:r w:rsidR="001B0B31">
        <w:t xml:space="preserve"> let alone excellence</w:t>
      </w:r>
      <w:r>
        <w:t>,</w:t>
      </w:r>
      <w:r w:rsidR="008D4D03">
        <w:t xml:space="preserve"> for so many</w:t>
      </w:r>
      <w:r w:rsidR="003C7C60">
        <w:t xml:space="preserve"> of our</w:t>
      </w:r>
      <w:r w:rsidR="00D14711">
        <w:t xml:space="preserve"> poorest children. The </w:t>
      </w:r>
      <w:r w:rsidR="00D14711">
        <w:rPr>
          <w:i/>
        </w:rPr>
        <w:t>Children of the Sunrise</w:t>
      </w:r>
      <w:r w:rsidR="008D4D03">
        <w:rPr>
          <w:i/>
        </w:rPr>
        <w:t xml:space="preserve">, </w:t>
      </w:r>
      <w:r w:rsidR="008D4D03">
        <w:t xml:space="preserve">First Nations children, </w:t>
      </w:r>
      <w:r w:rsidR="00D14711">
        <w:t>are trapped by the</w:t>
      </w:r>
      <w:r w:rsidR="003C7C60">
        <w:t xml:space="preserve"> poverty within</w:t>
      </w:r>
      <w:r w:rsidR="001B0B31">
        <w:t xml:space="preserve"> </w:t>
      </w:r>
      <w:r w:rsidR="00D14711">
        <w:t xml:space="preserve">our affluent nation </w:t>
      </w:r>
      <w:r w:rsidR="001B0B31">
        <w:t xml:space="preserve">and </w:t>
      </w:r>
      <w:r w:rsidR="00D51424">
        <w:t xml:space="preserve">by </w:t>
      </w:r>
      <w:r w:rsidR="00D14711">
        <w:t xml:space="preserve">the policies of </w:t>
      </w:r>
      <w:r w:rsidR="001B0B31">
        <w:t>Government</w:t>
      </w:r>
      <w:r w:rsidR="00D14711">
        <w:t>s</w:t>
      </w:r>
      <w:r w:rsidR="001B0B31">
        <w:t xml:space="preserve"> and </w:t>
      </w:r>
      <w:r w:rsidR="003C7C60">
        <w:t>vast bureaucracies</w:t>
      </w:r>
      <w:r w:rsidR="001102C6">
        <w:t xml:space="preserve"> that lack the essential knowledge to design or implement a successful education strategy</w:t>
      </w:r>
      <w:r w:rsidR="003C7C60">
        <w:t xml:space="preserve">. </w:t>
      </w:r>
      <w:r w:rsidR="00D91D9E">
        <w:t>The evidence I will share with you indicates that any progress towards equality in education will not come from what the New York University economist, Professor William Easterly calls “the tyranny of experts”</w:t>
      </w:r>
      <w:r w:rsidR="00D91D9E">
        <w:rPr>
          <w:rStyle w:val="FootnoteReference"/>
        </w:rPr>
        <w:footnoteReference w:id="1"/>
      </w:r>
      <w:r w:rsidR="00D91D9E">
        <w:t xml:space="preserve"> but rather from extending to the First People of this land their </w:t>
      </w:r>
      <w:r w:rsidR="003C7C60">
        <w:t xml:space="preserve">full </w:t>
      </w:r>
      <w:r w:rsidR="00D91D9E">
        <w:t>rights and freedom to shape the</w:t>
      </w:r>
      <w:r w:rsidR="003C7C60">
        <w:t>ir</w:t>
      </w:r>
      <w:r w:rsidR="00D91D9E">
        <w:t xml:space="preserve"> </w:t>
      </w:r>
      <w:r w:rsidR="00B933DA">
        <w:t xml:space="preserve">future, including </w:t>
      </w:r>
      <w:r w:rsidR="003C7C60">
        <w:t xml:space="preserve">languages, Culture and other </w:t>
      </w:r>
      <w:r w:rsidR="00D91D9E">
        <w:t>learning agendas for their children.</w:t>
      </w:r>
      <w:r w:rsidR="001B0B31">
        <w:t xml:space="preserve"> </w:t>
      </w:r>
      <w:r w:rsidR="00671674">
        <w:t xml:space="preserve"> </w:t>
      </w:r>
      <w:r w:rsidR="007B3551">
        <w:t xml:space="preserve">Government and market forces have a role and a responsibility to contribute to the development of </w:t>
      </w:r>
      <w:r w:rsidR="00C979AF">
        <w:t>many</w:t>
      </w:r>
      <w:r>
        <w:t xml:space="preserve"> essential </w:t>
      </w:r>
      <w:r w:rsidR="009E1D43">
        <w:t xml:space="preserve">social </w:t>
      </w:r>
      <w:r w:rsidR="007B3551">
        <w:t xml:space="preserve">services, </w:t>
      </w:r>
      <w:r>
        <w:t>including ed</w:t>
      </w:r>
      <w:r w:rsidR="00BF406E">
        <w:t xml:space="preserve">ucation, but the wellbeing and </w:t>
      </w:r>
      <w:r>
        <w:t>rights of First Nations</w:t>
      </w:r>
      <w:r w:rsidR="007B3551">
        <w:t xml:space="preserve"> c</w:t>
      </w:r>
      <w:r w:rsidR="00A9215E">
        <w:t>hildren are</w:t>
      </w:r>
      <w:r>
        <w:t xml:space="preserve"> ultimately advanced most impressively</w:t>
      </w:r>
      <w:r w:rsidR="007B3551">
        <w:t xml:space="preserve"> by</w:t>
      </w:r>
      <w:r w:rsidR="009E1D43">
        <w:t xml:space="preserve"> First Nations leadership, by </w:t>
      </w:r>
      <w:r w:rsidR="007B3551">
        <w:t>community, family and individual responsibility, age old values of the world’s oldest continuous Cultures.</w:t>
      </w:r>
      <w:r w:rsidR="004E4D0D">
        <w:t xml:space="preserve"> I am </w:t>
      </w:r>
      <w:r w:rsidR="00B933DA">
        <w:t>not here to criticise teachers or</w:t>
      </w:r>
      <w:r w:rsidR="004E4D0D">
        <w:t xml:space="preserve"> education academics though </w:t>
      </w:r>
      <w:r w:rsidR="00D51424">
        <w:t xml:space="preserve">some of </w:t>
      </w:r>
      <w:r w:rsidR="004E4D0D">
        <w:t>you</w:t>
      </w:r>
      <w:r w:rsidR="00B933DA">
        <w:t xml:space="preserve"> may hold varying views of the chal</w:t>
      </w:r>
      <w:r w:rsidR="00D51424">
        <w:t>lenges and the achievements. I respect your opinion that there are many ways to learn but</w:t>
      </w:r>
      <w:r w:rsidR="00B933DA">
        <w:t xml:space="preserve"> I will argue strongly that we must end the tyranny of </w:t>
      </w:r>
      <w:r w:rsidR="003B056A">
        <w:t xml:space="preserve">so-called </w:t>
      </w:r>
      <w:r w:rsidR="00B933DA">
        <w:t>experts</w:t>
      </w:r>
      <w:r w:rsidR="002B1C25">
        <w:t xml:space="preserve"> who learn nothing from history</w:t>
      </w:r>
      <w:r w:rsidR="00B933DA">
        <w:t xml:space="preserve">. </w:t>
      </w:r>
    </w:p>
    <w:p w14:paraId="2BE1BCB2" w14:textId="77777777" w:rsidR="000E29BB" w:rsidRDefault="000E29BB"/>
    <w:p w14:paraId="4CDF1D91" w14:textId="44592B5F" w:rsidR="000E29BB" w:rsidRDefault="003C7C60">
      <w:r>
        <w:t xml:space="preserve">I have just returned from the Northern Territory where </w:t>
      </w:r>
      <w:r w:rsidR="009E1D43">
        <w:t>the First Peoples are hunkering down to await the full impact</w:t>
      </w:r>
      <w:r w:rsidR="00DC6C51">
        <w:t xml:space="preserve"> on their lives</w:t>
      </w:r>
      <w:r w:rsidR="009E1D43">
        <w:t xml:space="preserve"> of the latest policy reviews</w:t>
      </w:r>
      <w:r w:rsidR="00B933DA">
        <w:t xml:space="preserve"> that are amalgams of what governments want to hear and of what technocrats offer over and over again</w:t>
      </w:r>
      <w:r w:rsidR="009E1D43">
        <w:t>. The first thing one notices</w:t>
      </w:r>
      <w:r w:rsidR="001102C6">
        <w:t xml:space="preserve"> is</w:t>
      </w:r>
      <w:r w:rsidR="003A683C">
        <w:t xml:space="preserve"> that all such reviews by so-</w:t>
      </w:r>
      <w:r w:rsidR="009E1D43">
        <w:t xml:space="preserve">called experts have titles </w:t>
      </w:r>
      <w:r w:rsidR="007F2883">
        <w:t>ringing with false optimism. Andrew</w:t>
      </w:r>
      <w:r w:rsidR="009E1D43">
        <w:t xml:space="preserve"> Forest</w:t>
      </w:r>
      <w:r w:rsidR="007F2883">
        <w:t>’s</w:t>
      </w:r>
      <w:r w:rsidR="009E1D43">
        <w:t xml:space="preserve"> Review is entitled “CREATING PARITY”</w:t>
      </w:r>
      <w:r w:rsidR="009E1D43">
        <w:rPr>
          <w:rStyle w:val="FootnoteReference"/>
        </w:rPr>
        <w:footnoteReference w:id="2"/>
      </w:r>
      <w:r w:rsidR="009E1D43">
        <w:t xml:space="preserve"> and Bruce Wilson’s Northern Territory Education Review is headed, “A SHARE IN THE FUTURE”</w:t>
      </w:r>
      <w:r w:rsidR="00164240">
        <w:rPr>
          <w:rStyle w:val="FootnoteReference"/>
        </w:rPr>
        <w:footnoteReference w:id="3"/>
      </w:r>
      <w:r w:rsidR="001102C6">
        <w:t xml:space="preserve">. </w:t>
      </w:r>
      <w:r w:rsidR="00DC6C51">
        <w:t xml:space="preserve">To put it succinctly, there is little chance of parity offered in these reports and the only share in the future will come when First Nations people are in charge of their own agendas. </w:t>
      </w:r>
      <w:r w:rsidR="001102C6">
        <w:t>Like the previous review of Northern Territory Education</w:t>
      </w:r>
      <w:r w:rsidR="00341140">
        <w:t xml:space="preserve"> in 1999</w:t>
      </w:r>
      <w:r w:rsidR="001102C6">
        <w:t>, ironically titled,</w:t>
      </w:r>
      <w:r w:rsidR="003A683C">
        <w:t xml:space="preserve"> “LEARNING LESSONS”</w:t>
      </w:r>
      <w:r w:rsidR="003A683C">
        <w:rPr>
          <w:rStyle w:val="FootnoteReference"/>
        </w:rPr>
        <w:footnoteReference w:id="4"/>
      </w:r>
      <w:r w:rsidR="002B1C25">
        <w:t>,</w:t>
      </w:r>
      <w:r w:rsidR="003A683C">
        <w:t xml:space="preserve"> </w:t>
      </w:r>
      <w:r w:rsidR="001102C6">
        <w:t>both the Forest and Wilson Reviews show that Australia</w:t>
      </w:r>
      <w:r w:rsidR="003A683C">
        <w:t>n Government</w:t>
      </w:r>
      <w:r w:rsidR="001102C6">
        <w:t xml:space="preserve"> has learned very few lessons on advancing education for First Nations children.  </w:t>
      </w:r>
    </w:p>
    <w:p w14:paraId="4F562197" w14:textId="77777777" w:rsidR="000E29BB" w:rsidRDefault="000E29BB"/>
    <w:p w14:paraId="36537CA4" w14:textId="77777777" w:rsidR="000E29BB" w:rsidRDefault="000E29BB"/>
    <w:p w14:paraId="7B50BBB5" w14:textId="77777777" w:rsidR="00596A89" w:rsidRDefault="00596A89"/>
    <w:p w14:paraId="4BADA004" w14:textId="3BE170CD" w:rsidR="00DC6C51" w:rsidRDefault="001102C6">
      <w:r>
        <w:lastRenderedPageBreak/>
        <w:t xml:space="preserve">Both new reports are largely surveys of failed </w:t>
      </w:r>
      <w:r w:rsidR="00341140">
        <w:t>education</w:t>
      </w:r>
      <w:r w:rsidR="00D3310A">
        <w:t xml:space="preserve">, </w:t>
      </w:r>
      <w:r w:rsidR="00D51424">
        <w:t xml:space="preserve">failed </w:t>
      </w:r>
      <w:r w:rsidR="00D3310A">
        <w:t>training</w:t>
      </w:r>
      <w:r w:rsidR="00C17C62">
        <w:t xml:space="preserve"> </w:t>
      </w:r>
      <w:r w:rsidR="00D51424">
        <w:t>and failed</w:t>
      </w:r>
      <w:r w:rsidR="00E95294">
        <w:t xml:space="preserve"> social </w:t>
      </w:r>
      <w:r w:rsidR="00D51424">
        <w:t>engineering</w:t>
      </w:r>
      <w:r>
        <w:t xml:space="preserve">, </w:t>
      </w:r>
      <w:r w:rsidR="00D51424">
        <w:t xml:space="preserve">failures that </w:t>
      </w:r>
      <w:r w:rsidR="000E29BB">
        <w:t xml:space="preserve">highlight </w:t>
      </w:r>
      <w:r>
        <w:t xml:space="preserve">bewildering changes in </w:t>
      </w:r>
      <w:r w:rsidR="00341140">
        <w:t>administration,</w:t>
      </w:r>
      <w:r w:rsidR="000E29BB">
        <w:t xml:space="preserve"> the</w:t>
      </w:r>
      <w:r w:rsidR="00341140">
        <w:t xml:space="preserve"> introduction of countless new programs that were soon abandoned, inconsistent and inadequate funding and a stunning inability to pay heed to the voices of the First Peopl</w:t>
      </w:r>
      <w:r w:rsidR="003A683C">
        <w:t>es with the knowledge to explai</w:t>
      </w:r>
      <w:r w:rsidR="00341140">
        <w:t>n what does and does not work at the community level.</w:t>
      </w:r>
    </w:p>
    <w:p w14:paraId="0E10C2B2" w14:textId="77777777" w:rsidR="000E29BB" w:rsidRDefault="000E29BB"/>
    <w:p w14:paraId="08467B87" w14:textId="77777777" w:rsidR="00596A89" w:rsidRDefault="002B1C25">
      <w:r>
        <w:t xml:space="preserve">Here and there these reports offer the standard motherhood statements, </w:t>
      </w:r>
      <w:r w:rsidR="00EC7BFD">
        <w:t xml:space="preserve">for instance </w:t>
      </w:r>
      <w:r>
        <w:t xml:space="preserve">the startling discovery that early learning is the key to life long learning. </w:t>
      </w:r>
      <w:r w:rsidR="003B056A">
        <w:t>While educators have been urgi</w:t>
      </w:r>
      <w:r w:rsidR="00596A89">
        <w:t>ng Governments to improve child-</w:t>
      </w:r>
      <w:r w:rsidR="003B056A">
        <w:t>care and early learning</w:t>
      </w:r>
      <w:r w:rsidR="00296F33">
        <w:t xml:space="preserve"> for more than three decades, effective pre-schooling is mightily uneven</w:t>
      </w:r>
      <w:r w:rsidR="000E29BB">
        <w:t xml:space="preserve"> in Australia</w:t>
      </w:r>
      <w:r w:rsidR="00296F33">
        <w:t xml:space="preserve"> and still not giving the youngest children in many communities the quality of support they require. </w:t>
      </w:r>
      <w:r w:rsidR="000E29BB">
        <w:t xml:space="preserve">Still the Wilson review </w:t>
      </w:r>
      <w:r w:rsidR="00596A89">
        <w:t xml:space="preserve">rightly </w:t>
      </w:r>
      <w:r w:rsidR="000E29BB">
        <w:t>hails early learning as one of the few education</w:t>
      </w:r>
      <w:r w:rsidR="00596A89">
        <w:t xml:space="preserve"> areas where some progress is being made</w:t>
      </w:r>
      <w:r w:rsidR="000E29BB">
        <w:t xml:space="preserve">. </w:t>
      </w:r>
      <w:r w:rsidR="00596A89">
        <w:t xml:space="preserve">But look closer. </w:t>
      </w:r>
      <w:r w:rsidR="00296F33">
        <w:t>At the La Grange sch</w:t>
      </w:r>
      <w:r w:rsidR="00EC7BFD">
        <w:t>ool at Bidyadanga near Broome, o</w:t>
      </w:r>
      <w:r w:rsidR="00296F33">
        <w:t>ur Lite</w:t>
      </w:r>
      <w:r w:rsidR="00EC7BFD">
        <w:t>racy Empower</w:t>
      </w:r>
      <w:r w:rsidR="00296F33">
        <w:t xml:space="preserve">ment Program at </w:t>
      </w:r>
      <w:r w:rsidR="00EC7BFD">
        <w:t>Ian Thorpe’s Fountain for Youth</w:t>
      </w:r>
      <w:r w:rsidR="00296F33">
        <w:t xml:space="preserve"> was involved in the c</w:t>
      </w:r>
      <w:r w:rsidR="000E29BB">
        <w:t>ommunity’s development of a top-</w:t>
      </w:r>
      <w:r w:rsidR="00296F33">
        <w:t>flig</w:t>
      </w:r>
      <w:r w:rsidR="00EC7BFD">
        <w:t>ht early learning program</w:t>
      </w:r>
      <w:r w:rsidR="000E29BB">
        <w:t xml:space="preserve"> over the past decade</w:t>
      </w:r>
      <w:r w:rsidR="00EC7BFD">
        <w:t>. A</w:t>
      </w:r>
      <w:r w:rsidR="00296F33">
        <w:t xml:space="preserve"> skilled </w:t>
      </w:r>
      <w:r w:rsidR="00EC7BFD">
        <w:t xml:space="preserve">teacher and </w:t>
      </w:r>
      <w:r w:rsidR="000E29BB">
        <w:t xml:space="preserve">trained </w:t>
      </w:r>
      <w:r w:rsidR="00EC7BFD">
        <w:t>assistants produced</w:t>
      </w:r>
      <w:r w:rsidR="00296F33">
        <w:t xml:space="preserve"> a quality of education that was celebrated on </w:t>
      </w:r>
      <w:r w:rsidR="000E29BB">
        <w:t xml:space="preserve">then Prime Minister </w:t>
      </w:r>
      <w:r w:rsidR="00296F33">
        <w:t xml:space="preserve">Julia Gillard’s national website. </w:t>
      </w:r>
      <w:r w:rsidR="00EC7BFD">
        <w:t>This is a whole-of-school approach that includes first-rate professional training for the teaching staff, oral language work among the infan</w:t>
      </w:r>
      <w:r w:rsidR="000E29BB">
        <w:t xml:space="preserve">ts, a </w:t>
      </w:r>
      <w:r w:rsidR="00596A89">
        <w:t xml:space="preserve">literacy and numeracy </w:t>
      </w:r>
      <w:r w:rsidR="00EC7BFD">
        <w:t>framework, and our Literacy Backpack program that engages families in learning and closes the space between the home and the school.</w:t>
      </w:r>
    </w:p>
    <w:p w14:paraId="66DC1A9C" w14:textId="07279D9B" w:rsidR="00620E52" w:rsidRDefault="00596A89">
      <w:r>
        <w:t xml:space="preserve">The backpack is not merely a way of getting reading to all members of the family, books, magazines and newspapers that are not easily available in remote areas, but it is a simple mechanism to get families and schools working together. </w:t>
      </w:r>
      <w:r w:rsidR="00EC7BFD">
        <w:t xml:space="preserve"> </w:t>
      </w:r>
      <w:r w:rsidR="00E53AB9">
        <w:t>Despite a glowing report from ACER, the Australian Council for Education Research</w:t>
      </w:r>
      <w:r>
        <w:t>, on the impact of the Literacy Empowerment project,</w:t>
      </w:r>
      <w:r w:rsidR="00EC7BFD">
        <w:t xml:space="preserve"> </w:t>
      </w:r>
      <w:r w:rsidR="00296F33">
        <w:t>what did the Government experts do? They cut funding</w:t>
      </w:r>
      <w:r w:rsidR="00EC7BFD">
        <w:t xml:space="preserve"> not only to this excellent Bidyadanga program but</w:t>
      </w:r>
      <w:r w:rsidR="00296F33">
        <w:t xml:space="preserve"> to all twenty of the specialised Indigenous Literacy programs</w:t>
      </w:r>
      <w:r w:rsidR="00620E52">
        <w:t xml:space="preserve"> around Australia</w:t>
      </w:r>
      <w:r w:rsidR="00296F33">
        <w:t xml:space="preserve">.  </w:t>
      </w:r>
      <w:r w:rsidR="000E29BB">
        <w:t>So while</w:t>
      </w:r>
      <w:r w:rsidR="00EC7BFD">
        <w:t xml:space="preserve"> the </w:t>
      </w:r>
      <w:r w:rsidR="00296F33">
        <w:t>Fore</w:t>
      </w:r>
      <w:r w:rsidR="00EC7BFD">
        <w:t xml:space="preserve">st and Wilson reviews </w:t>
      </w:r>
      <w:r w:rsidR="000E29BB">
        <w:t xml:space="preserve">correctly </w:t>
      </w:r>
      <w:r w:rsidR="00296F33">
        <w:t>identify early learning as the essential foundation for a c</w:t>
      </w:r>
      <w:r w:rsidR="000E29BB">
        <w:t xml:space="preserve">hild’s successful education, these reports </w:t>
      </w:r>
      <w:r w:rsidR="00296F33">
        <w:t>are commissioned</w:t>
      </w:r>
      <w:r w:rsidR="000E29BB">
        <w:t xml:space="preserve"> and paid for</w:t>
      </w:r>
      <w:r w:rsidR="00296F33">
        <w:t xml:space="preserve"> by Government and ultimately they do </w:t>
      </w:r>
      <w:r w:rsidR="00620E52">
        <w:t>not focus</w:t>
      </w:r>
      <w:r w:rsidR="000E29BB">
        <w:t xml:space="preserve"> with any clarity or depth</w:t>
      </w:r>
      <w:r w:rsidR="00620E52">
        <w:t xml:space="preserve"> on Government failure, the </w:t>
      </w:r>
      <w:r w:rsidR="000E29BB">
        <w:t xml:space="preserve">failure of administration, the </w:t>
      </w:r>
      <w:r>
        <w:t xml:space="preserve">failure of sustained investment, the </w:t>
      </w:r>
      <w:r w:rsidR="000E29BB">
        <w:t>tyranny of experts.</w:t>
      </w:r>
    </w:p>
    <w:p w14:paraId="00FEC2B9" w14:textId="77777777" w:rsidR="00620E52" w:rsidRDefault="00620E52"/>
    <w:p w14:paraId="2964B96F" w14:textId="08BF0FBE" w:rsidR="00352AA1" w:rsidRDefault="00296F33">
      <w:r>
        <w:t xml:space="preserve">Both </w:t>
      </w:r>
      <w:r w:rsidR="00620E52">
        <w:t xml:space="preserve">the </w:t>
      </w:r>
      <w:r>
        <w:t xml:space="preserve">Wilson and Forest </w:t>
      </w:r>
      <w:r w:rsidR="00620E52">
        <w:t xml:space="preserve">reports </w:t>
      </w:r>
      <w:r>
        <w:t>offer additional platitudes about the value of first languages. But neither report comes to grips with the truth that it is a fundamental human right of these children to be taught at the youngest age in their first language and that this indeed is a huge education asset. Both reports simply comment on the bilingualism controversy without examin</w:t>
      </w:r>
      <w:r w:rsidR="00713AB6">
        <w:t>in</w:t>
      </w:r>
      <w:r>
        <w:t xml:space="preserve">g how Government in its confused and contradictory style has undermined </w:t>
      </w:r>
      <w:r w:rsidR="00713AB6">
        <w:t>effective bilingual education for children who are clearly bicultural. For example, while the NSW Liberal Government was winning applause for supporting the teaching of First Nation languages</w:t>
      </w:r>
      <w:r w:rsidR="00620E52">
        <w:t>,</w:t>
      </w:r>
      <w:r w:rsidR="00713AB6">
        <w:t xml:space="preserve"> the Northern Territory </w:t>
      </w:r>
      <w:r w:rsidR="00620E52">
        <w:t xml:space="preserve">Education Department </w:t>
      </w:r>
      <w:r w:rsidR="00713AB6">
        <w:t xml:space="preserve">was stumbling backwards from the policy disaster of requiring all lessons for the first four hours in school to be taught in English.  </w:t>
      </w:r>
      <w:r w:rsidR="009B563E">
        <w:t>In the Northern Te</w:t>
      </w:r>
      <w:r w:rsidR="00596A89">
        <w:t>rritory between 85% and</w:t>
      </w:r>
      <w:r w:rsidR="009B563E">
        <w:t xml:space="preserve"> 90% o</w:t>
      </w:r>
      <w:r w:rsidR="000E29BB">
        <w:t xml:space="preserve">f children learn to speak </w:t>
      </w:r>
      <w:r w:rsidR="009B563E">
        <w:t>at home in a First Nat</w:t>
      </w:r>
      <w:r w:rsidR="000E29BB">
        <w:t>ions dialect or Kriol. E</w:t>
      </w:r>
      <w:r w:rsidR="00352AA1">
        <w:t>arly learning programs should be utilising</w:t>
      </w:r>
      <w:r w:rsidR="009B563E">
        <w:t xml:space="preserve"> this asset, developing literacy in the first language and at the same time immersing children in their bicultural language so </w:t>
      </w:r>
      <w:r w:rsidR="00352AA1">
        <w:t xml:space="preserve">that </w:t>
      </w:r>
      <w:r w:rsidR="009B563E">
        <w:t xml:space="preserve">they are equipped for a </w:t>
      </w:r>
      <w:r w:rsidR="00352AA1">
        <w:t>rich and rapidly expanding program of l</w:t>
      </w:r>
      <w:r w:rsidR="009B563E">
        <w:t>earning</w:t>
      </w:r>
      <w:r w:rsidR="00352AA1">
        <w:t xml:space="preserve">. </w:t>
      </w:r>
    </w:p>
    <w:p w14:paraId="24868EDA" w14:textId="33791A40" w:rsidR="00E53AB9" w:rsidRDefault="009B563E">
      <w:r>
        <w:t xml:space="preserve">Currently as children arrive at </w:t>
      </w:r>
      <w:r w:rsidR="00352AA1">
        <w:t xml:space="preserve">remote </w:t>
      </w:r>
      <w:r>
        <w:t>school</w:t>
      </w:r>
      <w:r w:rsidR="00352AA1">
        <w:t>s</w:t>
      </w:r>
      <w:r>
        <w:t xml:space="preserve"> with little early learning</w:t>
      </w:r>
      <w:r w:rsidR="00352AA1">
        <w:t>,</w:t>
      </w:r>
      <w:r>
        <w:t xml:space="preserve"> as well as being limited by widespread hearing loss from Otitis Media and other learning disabilities, it should be no surprise to see the pattern of confusion, frustration and fai</w:t>
      </w:r>
      <w:r w:rsidR="00596A89">
        <w:t>lure cited in the Wilson Report</w:t>
      </w:r>
      <w:r>
        <w:t>: two years behind by year three, five years behind by year seven, and by year nine, only about ten per cent can read and write well eno</w:t>
      </w:r>
      <w:r w:rsidR="00E53AB9">
        <w:t>ugh to be effectively educated in this system</w:t>
      </w:r>
      <w:r w:rsidR="00620E52">
        <w:rPr>
          <w:rStyle w:val="FootnoteReference"/>
        </w:rPr>
        <w:footnoteReference w:id="5"/>
      </w:r>
      <w:r w:rsidR="00E53AB9">
        <w:t xml:space="preserve">. </w:t>
      </w:r>
    </w:p>
    <w:p w14:paraId="2EA62DF3" w14:textId="77777777" w:rsidR="00E53AB9" w:rsidRDefault="00E53AB9"/>
    <w:p w14:paraId="732D91BA" w14:textId="129154F0" w:rsidR="00E53AB9" w:rsidRDefault="00713AB6">
      <w:r>
        <w:t>Stand by children</w:t>
      </w:r>
      <w:r w:rsidR="00E53AB9">
        <w:t xml:space="preserve">, if </w:t>
      </w:r>
      <w:r w:rsidR="00620E52">
        <w:t>the Forest and Wilson reviews a</w:t>
      </w:r>
      <w:r w:rsidR="00E53AB9">
        <w:t>re taken up in earnest</w:t>
      </w:r>
      <w:r>
        <w:t xml:space="preserve"> there will be many changes and contradictions to come. </w:t>
      </w:r>
      <w:r w:rsidR="00E53AB9">
        <w:t>Secondary schools would be abandoned in remote c</w:t>
      </w:r>
      <w:r w:rsidR="00620E52">
        <w:t>ommunities. Homeland schools will be</w:t>
      </w:r>
      <w:r w:rsidR="00E53AB9">
        <w:t xml:space="preserve"> left in the ‘too hard’ basket because Government won’t sustain essential service funding. The Master Plan, it has long been clear, is to attempt once more the social engineering that has been disastrous throughout Australian history and in fact in most First Nations lands around the world.  In the Northern Territory families will be asked to voluntarily send children to boarding schools in half a dozen hubs. The so called ‘growth towns’ are the ones Government has chosen for development and they will have to contend with the complexities of social change when people, once more, are ushered from their tribal lands to live on the fringe of mainstream Australian life.  Already the social problems in </w:t>
      </w:r>
      <w:r w:rsidR="00620E52">
        <w:t>T</w:t>
      </w:r>
      <w:r w:rsidR="00E53AB9">
        <w:t>en</w:t>
      </w:r>
      <w:r w:rsidR="00620E52">
        <w:t>n</w:t>
      </w:r>
      <w:r w:rsidR="00E53AB9">
        <w:t>ant Creek, Katherine and Alice Springs are evidence that this forced</w:t>
      </w:r>
    </w:p>
    <w:p w14:paraId="14A054E2" w14:textId="4F9EDE16" w:rsidR="00713AB6" w:rsidRDefault="00620E52">
      <w:r>
        <w:t>a</w:t>
      </w:r>
      <w:r w:rsidR="00E53AB9">
        <w:t>ssimilation in the name of modernization</w:t>
      </w:r>
      <w:r>
        <w:t xml:space="preserve"> and rationalisation of resources is increasing dysfunction. One the other hand, t</w:t>
      </w:r>
      <w:r w:rsidR="00E53AB9">
        <w:t xml:space="preserve">he evidence from the Menzies School of Health is that children on the homelands are safer, have better nutrition and are exposed to far less risk to their wellbeing than the fringe dwellers. </w:t>
      </w:r>
    </w:p>
    <w:p w14:paraId="23621EF2" w14:textId="77777777" w:rsidR="00713AB6" w:rsidRDefault="00713AB6"/>
    <w:p w14:paraId="179FB721" w14:textId="47F0D2D4" w:rsidR="00662045" w:rsidRDefault="00713AB6">
      <w:r>
        <w:t>If you don’t attend school in the Northern Territory your family soon may find</w:t>
      </w:r>
      <w:r w:rsidR="00BA4601">
        <w:t xml:space="preserve"> you are being punished. Andrew Forest, a mining billionaire, has seriously proposed that some 2.5 million Australians should be given national welfare cards and that if children are not attending school these </w:t>
      </w:r>
      <w:r w:rsidR="00352AA1">
        <w:t xml:space="preserve">welfare </w:t>
      </w:r>
      <w:r w:rsidR="00BA4601">
        <w:t xml:space="preserve">payments should be docked. Currently the federal Government’s </w:t>
      </w:r>
      <w:r w:rsidR="00352AA1">
        <w:t xml:space="preserve">newly appointed </w:t>
      </w:r>
      <w:r w:rsidR="00BA4601">
        <w:t>school attendance officers do not yield this big stick but the Federal Minister for Indigenous Affairs, Senator Nigel Scullion said recently that he had come to believe that this punishment was needed in some cases.</w:t>
      </w:r>
      <w:r w:rsidR="00352AA1">
        <w:t xml:space="preserve"> The evidence again shows the tyranny of experts.</w:t>
      </w:r>
      <w:r w:rsidR="00BA4601">
        <w:t xml:space="preserve"> </w:t>
      </w:r>
      <w:r w:rsidR="001C0A61">
        <w:t xml:space="preserve">In the Northern Territory primary school attendance was down from 70% in 2002 to 68% in 2012 and only 50% of secondary school age kids were attending. </w:t>
      </w:r>
      <w:r w:rsidR="00BA4601">
        <w:t>During the peak of the politic</w:t>
      </w:r>
      <w:r w:rsidR="007B6C29">
        <w:t>al oppression of the</w:t>
      </w:r>
      <w:r w:rsidR="00352AA1">
        <w:t xml:space="preserve"> NT remote communities during the</w:t>
      </w:r>
      <w:r w:rsidR="007B6C29">
        <w:t xml:space="preserve"> first five-</w:t>
      </w:r>
      <w:r w:rsidR="00BA4601">
        <w:t>year emergency phase of the Northern Territory Intervention, Senator Scullion told me in Maningrida one day that if the Coalition came to power they would make the Intervention work b</w:t>
      </w:r>
      <w:r w:rsidR="00352AA1">
        <w:t>ecause they would be much tougher</w:t>
      </w:r>
      <w:r w:rsidR="00BA4601">
        <w:t xml:space="preserve">.  </w:t>
      </w:r>
      <w:r w:rsidR="00352AA1">
        <w:t xml:space="preserve">Really should anyone be surprised by the Abbott Government’s disproportionate emphasis on </w:t>
      </w:r>
      <w:r w:rsidR="00662045">
        <w:t>squeezing the poorest people in our society. In that memorable conversation in Maningrida, Senator Scullion</w:t>
      </w:r>
      <w:r w:rsidR="00BA4601">
        <w:t xml:space="preserve"> also </w:t>
      </w:r>
      <w:r w:rsidR="00662045">
        <w:t xml:space="preserve">scoffed at my view </w:t>
      </w:r>
      <w:r w:rsidR="00BA4601">
        <w:t>that local community organisations h</w:t>
      </w:r>
      <w:r w:rsidR="00662045">
        <w:t xml:space="preserve">ad the leadership and skills to be heavily involved </w:t>
      </w:r>
      <w:r w:rsidR="00BA4601">
        <w:t xml:space="preserve">the way in the development of their </w:t>
      </w:r>
      <w:r w:rsidR="00662045">
        <w:t xml:space="preserve">communities and in their </w:t>
      </w:r>
      <w:r w:rsidR="00BA4601">
        <w:t xml:space="preserve">children’s health, education, employment and overall wellbeing. </w:t>
      </w:r>
    </w:p>
    <w:p w14:paraId="102DD3E5" w14:textId="77777777" w:rsidR="00662045" w:rsidRDefault="00662045"/>
    <w:p w14:paraId="7CD4F716" w14:textId="77777777" w:rsidR="00596A89" w:rsidRDefault="00596A89"/>
    <w:p w14:paraId="111812A9" w14:textId="77777777" w:rsidR="00596A89" w:rsidRDefault="00596A89"/>
    <w:p w14:paraId="4926B33C" w14:textId="77777777" w:rsidR="00662045" w:rsidRDefault="00662045"/>
    <w:p w14:paraId="359B048D" w14:textId="5049B3A1" w:rsidR="00DD1BCD" w:rsidRDefault="00662045">
      <w:r>
        <w:t>One cannot understand Australian Government’s approach to First Nations policy including education without examining the central tenets of the neo-liberal philosophy that has gained adherents in both major political parties. Neo-liberal thinking also illuminates the words and actions of a handful of highly visible and vocal Aboriginal neo-conservatives, No</w:t>
      </w:r>
      <w:r w:rsidR="00530932">
        <w:t>el Pearson, Marcia Langton and W</w:t>
      </w:r>
      <w:r>
        <w:t>arren Mundine in particular. I have written about this extensively in the book, IN BLACK AND WHITE</w:t>
      </w:r>
      <w:r>
        <w:rPr>
          <w:rStyle w:val="FootnoteReference"/>
        </w:rPr>
        <w:footnoteReference w:id="6"/>
      </w:r>
      <w:r>
        <w:t>, edited by Prof</w:t>
      </w:r>
      <w:r w:rsidR="00530932">
        <w:t xml:space="preserve">essor Rhonda Craven along with </w:t>
      </w:r>
      <w:r>
        <w:t xml:space="preserve">Dr Anthony Dillon and Nigel Parbury. </w:t>
      </w:r>
      <w:r w:rsidR="00530932">
        <w:t>Neo-liberalism connects the agendas of modernizing the Culture of First Nations people while vigorously exploiting th</w:t>
      </w:r>
      <w:r w:rsidR="00DD1BCD">
        <w:t>e privatisation of their commun</w:t>
      </w:r>
      <w:r w:rsidR="00530932">
        <w:t>al lands</w:t>
      </w:r>
      <w:r w:rsidR="00596A89">
        <w:t>. Any crisis over child welfare, non-</w:t>
      </w:r>
      <w:r w:rsidR="00530932">
        <w:t xml:space="preserve">attendance at school or the perceived failure of remote secondary schools can be viewed in the context of an overall plan to </w:t>
      </w:r>
      <w:r w:rsidR="00DD1BCD">
        <w:t>socially</w:t>
      </w:r>
      <w:r w:rsidR="00596A89">
        <w:t xml:space="preserve"> engineer traditional groups away from</w:t>
      </w:r>
      <w:r w:rsidR="00DD1BCD">
        <w:t xml:space="preserve"> their tribal and mineral rich lands towards growth towns where they will be assimilated. The nature of this 21</w:t>
      </w:r>
      <w:r w:rsidR="00DD1BCD" w:rsidRPr="00DD1BCD">
        <w:rPr>
          <w:vertAlign w:val="superscript"/>
        </w:rPr>
        <w:t>st</w:t>
      </w:r>
      <w:r w:rsidR="00DD1BCD">
        <w:t xml:space="preserve"> strain of market fundamentalism almost guarantees that this is not trickle down economics but will result in the upward redistribution of wealth to Twiggy Forest and the like. Neo-Liberalism enlists the government to actively redistribute national wealth, and in particular the mineral wealth from the lands of First Nations people. The British born social scientist, David Harvey</w:t>
      </w:r>
      <w:r w:rsidR="00DD1BCD">
        <w:rPr>
          <w:rStyle w:val="FootnoteReference"/>
        </w:rPr>
        <w:footnoteReference w:id="7"/>
      </w:r>
      <w:r w:rsidR="00DD1BCD">
        <w:t xml:space="preserve"> argues convincingly that the re-distributive effects and increasing social inequality are such persistent features of neo-liberalism that they are structural to the whole project. </w:t>
      </w:r>
    </w:p>
    <w:p w14:paraId="041D43F7" w14:textId="77777777" w:rsidR="00DD1BCD" w:rsidRDefault="00DD1BCD"/>
    <w:p w14:paraId="0D4D02FC" w14:textId="44927D9E" w:rsidR="00BA4601" w:rsidRDefault="00DD1BCD">
      <w:r>
        <w:t>So think about these tenets of neo-liberalism and then turn again to the tyranny of experts.</w:t>
      </w:r>
      <w:r w:rsidR="00352AA1">
        <w:t xml:space="preserve"> I</w:t>
      </w:r>
      <w:r w:rsidR="009B72C1">
        <w:t>t is clear to me that reviews of education and training such as those offered by Andrew Forest and Bruce Wilson</w:t>
      </w:r>
      <w:r w:rsidR="00352AA1">
        <w:t xml:space="preserve"> </w:t>
      </w:r>
      <w:r w:rsidR="009B72C1">
        <w:t xml:space="preserve">merely </w:t>
      </w:r>
      <w:r w:rsidR="00352AA1">
        <w:t>serve the Government</w:t>
      </w:r>
      <w:r w:rsidR="00596A89">
        <w:t>’s ideo</w:t>
      </w:r>
      <w:r w:rsidR="009B72C1">
        <w:t>logical</w:t>
      </w:r>
      <w:r w:rsidR="00352AA1">
        <w:t xml:space="preserve"> agendas </w:t>
      </w:r>
      <w:r w:rsidR="009B72C1">
        <w:t xml:space="preserve">to which they mutually subscribe. Conversely, if a venture capitalist, like David Gonsky surprises the establishment by challenging this neo-liberal agenda by recommending a sustained investment to ease disadvantage and improve the education of First Nation children and others now marginalised unfairly, we all know where that broken election promise is taking us. </w:t>
      </w:r>
    </w:p>
    <w:p w14:paraId="450E9891" w14:textId="77777777" w:rsidR="00BA4601" w:rsidRDefault="00BA4601"/>
    <w:p w14:paraId="33C33257" w14:textId="56238AD7" w:rsidR="00D610CF" w:rsidRDefault="00BA4601">
      <w:r>
        <w:t xml:space="preserve"> T</w:t>
      </w:r>
      <w:r w:rsidR="002B1C25">
        <w:t xml:space="preserve">he fatal flaw </w:t>
      </w:r>
      <w:r>
        <w:t>in the Australian Government approach</w:t>
      </w:r>
      <w:r w:rsidR="009B72C1">
        <w:t xml:space="preserve"> of this neo-liberal era</w:t>
      </w:r>
      <w:r w:rsidR="00802328">
        <w:t xml:space="preserve">, reflected </w:t>
      </w:r>
      <w:r w:rsidR="002B1C25">
        <w:t>in both the Forest and Wilson Reviews</w:t>
      </w:r>
      <w:r w:rsidR="00802328">
        <w:t>,</w:t>
      </w:r>
      <w:r w:rsidR="002B1C25">
        <w:t xml:space="preserve"> is that t</w:t>
      </w:r>
      <w:r w:rsidR="003A683C">
        <w:t xml:space="preserve">he tyranny of experts eternally fixes the First Nations people as ‘the problem”. </w:t>
      </w:r>
      <w:r w:rsidR="00A9215E">
        <w:t>One of Australia’s greatest living elders, Rosalie Kunoth Monks, went to the heart of this issue on the ABC’s Q&amp;A program. When the former Quadrant editor, Peter Coleman, suggested that “the problem” could only be solved by assimilation, integration…</w:t>
      </w:r>
      <w:r w:rsidR="000F19C8">
        <w:t>as he put it , “</w:t>
      </w:r>
      <w:r w:rsidR="00A9215E">
        <w:t>the full Monty, not just schooling</w:t>
      </w:r>
      <w:r w:rsidR="00FC6855">
        <w:t>…</w:t>
      </w:r>
      <w:r w:rsidR="00A9215E">
        <w:t>but intermarriage, all forms of integration”</w:t>
      </w:r>
      <w:r w:rsidR="00A9215E">
        <w:rPr>
          <w:rStyle w:val="FootnoteReference"/>
        </w:rPr>
        <w:footnoteReference w:id="8"/>
      </w:r>
      <w:r w:rsidR="00FC6855">
        <w:t xml:space="preserve"> there came a special moment as this nation was confronted by an important truth. </w:t>
      </w:r>
      <w:r w:rsidR="003A683C">
        <w:t xml:space="preserve">Rosalie </w:t>
      </w:r>
      <w:r w:rsidR="00FC6855">
        <w:t>Kunoth-Monks displayed</w:t>
      </w:r>
      <w:r w:rsidR="00E95294">
        <w:t xml:space="preserve"> with a beautiful</w:t>
      </w:r>
      <w:r w:rsidR="003A683C">
        <w:t xml:space="preserve"> poise, passion and dignity</w:t>
      </w:r>
      <w:r w:rsidR="00FC6855">
        <w:t xml:space="preserve"> her cultural essence declaring that she was no</w:t>
      </w:r>
      <w:r w:rsidR="00022F63">
        <w:t xml:space="preserve">t “Aboriginal” or “indigenous” </w:t>
      </w:r>
      <w:r w:rsidR="00FC6855">
        <w:t>but an Arrernte Alyawarre woman of this land</w:t>
      </w:r>
      <w:r w:rsidR="00D610CF">
        <w:t>, a “cultured woman”. She said, “I am not something that fell out of the sky for the pleasure of somebody putting another culture into this cultured being.”</w:t>
      </w:r>
      <w:r w:rsidR="00464025">
        <w:rPr>
          <w:rStyle w:val="FootnoteReference"/>
        </w:rPr>
        <w:footnoteReference w:id="9"/>
      </w:r>
      <w:r w:rsidR="00D610CF">
        <w:t xml:space="preserve"> </w:t>
      </w:r>
      <w:r w:rsidR="009B72C1">
        <w:t xml:space="preserve">Another guest, </w:t>
      </w:r>
      <w:r w:rsidR="00D610CF">
        <w:t>Jane Goodall</w:t>
      </w:r>
      <w:r w:rsidR="009B72C1">
        <w:t>,</w:t>
      </w:r>
      <w:r w:rsidR="00D610CF">
        <w:t xml:space="preserve"> then turned to Peter Coleman and with equal calm and </w:t>
      </w:r>
      <w:r w:rsidR="00117FE0">
        <w:t>control asked, “Would you be pre</w:t>
      </w:r>
      <w:r w:rsidR="00D610CF">
        <w:t>p</w:t>
      </w:r>
      <w:r w:rsidR="00117FE0">
        <w:t>a</w:t>
      </w:r>
      <w:r w:rsidR="00D610CF">
        <w:t>red to be assimi</w:t>
      </w:r>
      <w:r w:rsidR="00E95294">
        <w:t>lated into Aboriginal Culture…b</w:t>
      </w:r>
      <w:r w:rsidR="00D610CF">
        <w:t>ecause that’s what you are asking them to do?”</w:t>
      </w:r>
      <w:r w:rsidR="00464025">
        <w:rPr>
          <w:rStyle w:val="FootnoteReference"/>
        </w:rPr>
        <w:footnoteReference w:id="10"/>
      </w:r>
    </w:p>
    <w:p w14:paraId="51C49FA5" w14:textId="77777777" w:rsidR="00596A89" w:rsidRDefault="00596A89"/>
    <w:p w14:paraId="59CCF6A8" w14:textId="2D9BA8CC" w:rsidR="00802328" w:rsidRDefault="00D610CF">
      <w:r>
        <w:t>In the studio audience my wife and I sat with Rosalie’s granddaughter, Amelia Kunoth-Monks who was bristling with anger at hearing</w:t>
      </w:r>
      <w:r w:rsidR="005B5F39">
        <w:t xml:space="preserve"> her people described by Coleman</w:t>
      </w:r>
      <w:r>
        <w:t xml:space="preserve"> as “the problem”. This 21-year-old woman, now a student at Batchelor College against </w:t>
      </w:r>
      <w:r w:rsidR="00464025">
        <w:t>the odds and so many obstacles, knows the truth:</w:t>
      </w:r>
      <w:r>
        <w:t xml:space="preserve"> that many First Nations children have been excluded from an equal opportunity for a first rate education for more than two centuries. </w:t>
      </w:r>
      <w:r w:rsidR="009B72C1">
        <w:t xml:space="preserve">Amelia knows the sting and deep hurt of racism, the cold ignorance of people who treat you as someone less than fully human. </w:t>
      </w:r>
      <w:r w:rsidR="00802328">
        <w:t xml:space="preserve">When </w:t>
      </w:r>
      <w:r w:rsidR="005B5F39">
        <w:t>the Wilson report recommends giving up on secondary schools in remote communities</w:t>
      </w:r>
      <w:r w:rsidR="00802328">
        <w:t xml:space="preserve">, </w:t>
      </w:r>
      <w:r w:rsidR="00E83642">
        <w:t xml:space="preserve">Amelia and other young people </w:t>
      </w:r>
      <w:r w:rsidR="00802328">
        <w:t>understand that they are not being afforded the s</w:t>
      </w:r>
      <w:r w:rsidR="00E83642">
        <w:t>ame rights as other Australians</w:t>
      </w:r>
      <w:r w:rsidR="005B5F39">
        <w:t>.</w:t>
      </w:r>
      <w:r w:rsidR="00802328">
        <w:t xml:space="preserve"> Haven’t we always used distance e</w:t>
      </w:r>
      <w:r w:rsidR="00E83642">
        <w:t>ducation, home schooling and later</w:t>
      </w:r>
      <w:r w:rsidR="00802328">
        <w:t xml:space="preserve"> the internet to </w:t>
      </w:r>
      <w:r w:rsidR="00E83642">
        <w:t xml:space="preserve">at least </w:t>
      </w:r>
      <w:r w:rsidR="00802328">
        <w:t xml:space="preserve">aim to </w:t>
      </w:r>
      <w:r w:rsidR="00E83642">
        <w:t xml:space="preserve">give all of our children an adequate </w:t>
      </w:r>
      <w:r w:rsidR="00802328">
        <w:t>education. What about the extraordinary possibilities for connected classroom learni</w:t>
      </w:r>
      <w:r w:rsidR="00EC0E7F">
        <w:t>ng and the global trend to open-</w:t>
      </w:r>
      <w:r w:rsidR="00802328">
        <w:t>univ</w:t>
      </w:r>
      <w:r w:rsidR="00EC0E7F">
        <w:t>ersity learning</w:t>
      </w:r>
      <w:r w:rsidR="00802328">
        <w:t>?</w:t>
      </w:r>
    </w:p>
    <w:p w14:paraId="3FA5AB3C" w14:textId="77777777" w:rsidR="00EC0E7F" w:rsidRDefault="00EC0E7F"/>
    <w:p w14:paraId="69F6F6A0" w14:textId="6093DCC7" w:rsidR="00EC0E7F" w:rsidRDefault="00802328">
      <w:r>
        <w:t>At the very moment when the world is seeing the biggest shift from the traditional 19</w:t>
      </w:r>
      <w:r w:rsidRPr="00802328">
        <w:rPr>
          <w:vertAlign w:val="superscript"/>
        </w:rPr>
        <w:t>th</w:t>
      </w:r>
      <w:r>
        <w:t xml:space="preserve"> century classroom to personally styled</w:t>
      </w:r>
      <w:r w:rsidR="00EC0E7F">
        <w:t>, so called ‘individual</w:t>
      </w:r>
      <w:r>
        <w:t xml:space="preserve"> learning</w:t>
      </w:r>
      <w:r w:rsidR="00EC0E7F">
        <w:t>’,</w:t>
      </w:r>
      <w:r>
        <w:t xml:space="preserve"> are we really abandoning the principle that all Australian children can be given a quality school education within a convenient tra</w:t>
      </w:r>
      <w:r w:rsidR="00E83642">
        <w:t>veling distance from their home?</w:t>
      </w:r>
      <w:r>
        <w:t xml:space="preserve">  In the Northern Territory, of course, </w:t>
      </w:r>
      <w:r w:rsidR="00E83642">
        <w:t xml:space="preserve">many </w:t>
      </w:r>
      <w:r>
        <w:t>families know that very young children</w:t>
      </w:r>
      <w:r w:rsidR="00E83642">
        <w:t xml:space="preserve"> in years seven, eight and </w:t>
      </w:r>
      <w:r>
        <w:t xml:space="preserve">nine, will not want to leave home for a boarding school.  If the Wilson review recommendations for hub boarding schools are somehow funded in this era of budget slashing for the poorest Australians, it is certain that many young people, thousands of them, will stay behind in the homelands.  </w:t>
      </w:r>
    </w:p>
    <w:p w14:paraId="033256D3" w14:textId="77777777" w:rsidR="00EC0E7F" w:rsidRDefault="00EC0E7F"/>
    <w:p w14:paraId="166CAC08" w14:textId="2195600B" w:rsidR="007B3551" w:rsidRDefault="00802328">
      <w:r>
        <w:t xml:space="preserve">The tyranny of experts </w:t>
      </w:r>
      <w:r w:rsidR="00EC0E7F">
        <w:t xml:space="preserve">is </w:t>
      </w:r>
      <w:r w:rsidR="00E83642">
        <w:t>s</w:t>
      </w:r>
      <w:r w:rsidR="00EC0E7F">
        <w:t xml:space="preserve">weeping </w:t>
      </w:r>
      <w:r>
        <w:t xml:space="preserve">this nation back to the </w:t>
      </w:r>
      <w:r w:rsidR="001C0A61">
        <w:t xml:space="preserve">mistakes of the past. </w:t>
      </w:r>
      <w:r w:rsidR="00D610CF">
        <w:t>There is nothing new about the</w:t>
      </w:r>
      <w:r w:rsidR="005B5F39">
        <w:t xml:space="preserve"> </w:t>
      </w:r>
      <w:r w:rsidR="00E83642">
        <w:t xml:space="preserve">nation’s </w:t>
      </w:r>
      <w:r w:rsidR="005B5F39">
        <w:t>extraordinary double standard and deeply offensive</w:t>
      </w:r>
      <w:r w:rsidR="00EC0E7F">
        <w:t xml:space="preserve"> discrimination loaded into</w:t>
      </w:r>
      <w:r w:rsidR="005B5F39">
        <w:t xml:space="preserve"> a recommendation</w:t>
      </w:r>
      <w:r w:rsidR="00EC0E7F">
        <w:t xml:space="preserve"> to end secondary schooling in remote areas</w:t>
      </w:r>
      <w:r w:rsidR="005B5F39">
        <w:t xml:space="preserve">. </w:t>
      </w:r>
      <w:r w:rsidR="00E83642">
        <w:t xml:space="preserve">In my mother’s day she asked her father why her Aboriginal playmates from the nearby shanty settlement on Redbournberry Hill near Singleton could not go with her to the one teacher schoolhouse. She knew it was wrong, just as my boy and girl can see the injustice today of communities where children are left to sleep in abandoned cars and houses crowded with twenty or more people. You cannot understand the community view of the institutions of society, including schools, without recognising that schools too excluded First Nations children until well into my lifetime. The relentless attempts to control, move and assimilate whole communities </w:t>
      </w:r>
      <w:r w:rsidR="005B5F39">
        <w:t xml:space="preserve">are a constant in the political oppression </w:t>
      </w:r>
      <w:r w:rsidR="00D610CF">
        <w:t xml:space="preserve">running through virtually all </w:t>
      </w:r>
      <w:r w:rsidR="00E83642">
        <w:t xml:space="preserve">Australian government </w:t>
      </w:r>
      <w:r w:rsidR="00D610CF">
        <w:t xml:space="preserve">policy towards the First Peoples. </w:t>
      </w:r>
      <w:r w:rsidR="0023602E">
        <w:t xml:space="preserve">Talk to the oldest and wisest elders, and read history at depth, and you will see </w:t>
      </w:r>
      <w:r w:rsidR="00EC0E7F">
        <w:t xml:space="preserve">that </w:t>
      </w:r>
      <w:r w:rsidR="0023602E">
        <w:t>little has really changed when the technocrats of Government and its bureaucracies are administering policy.</w:t>
      </w:r>
    </w:p>
    <w:p w14:paraId="65A367E6" w14:textId="77777777" w:rsidR="0023602E" w:rsidRDefault="0023602E"/>
    <w:p w14:paraId="049C381C" w14:textId="77777777" w:rsidR="00141537" w:rsidRDefault="00141537" w:rsidP="00923AA6"/>
    <w:p w14:paraId="1C77CF30" w14:textId="1F84C88D" w:rsidR="00E30075" w:rsidRDefault="00141537" w:rsidP="00923AA6">
      <w:r>
        <w:t>What brings real change? W</w:t>
      </w:r>
      <w:r w:rsidR="0023602E">
        <w:t>hen a one time Principal from Cherbourg, Dr Chris Sarra</w:t>
      </w:r>
      <w:r w:rsidR="00117FE0">
        <w:t xml:space="preserve"> leads the</w:t>
      </w:r>
      <w:r w:rsidR="009043EA">
        <w:t xml:space="preserve"> reform of </w:t>
      </w:r>
      <w:r w:rsidR="00E83642">
        <w:t>schools</w:t>
      </w:r>
      <w:r w:rsidR="00EC0E7F">
        <w:t xml:space="preserve">, administration and </w:t>
      </w:r>
      <w:r w:rsidR="009043EA">
        <w:t>professional development</w:t>
      </w:r>
      <w:r w:rsidR="00117FE0">
        <w:t>, when</w:t>
      </w:r>
      <w:r w:rsidR="0023602E">
        <w:t xml:space="preserve"> a Sydney University graduate like Jack Manning Bancroft</w:t>
      </w:r>
      <w:r w:rsidR="00117FE0">
        <w:t xml:space="preserve"> shapes a strategy for student engagement, attendance</w:t>
      </w:r>
      <w:r w:rsidR="00464025">
        <w:t>, pride in identity</w:t>
      </w:r>
      <w:r w:rsidR="00AC2343">
        <w:t xml:space="preserve"> and achievement, or when a</w:t>
      </w:r>
      <w:r w:rsidR="00365646">
        <w:t xml:space="preserve"> less well known</w:t>
      </w:r>
      <w:r w:rsidR="00117FE0">
        <w:t xml:space="preserve"> community education worker is supported in bringing language an</w:t>
      </w:r>
      <w:r w:rsidR="00EC0E7F">
        <w:t>d Culture to the classroom, then</w:t>
      </w:r>
      <w:r w:rsidR="00117FE0">
        <w:t xml:space="preserve"> we truly see extraordinarily successful education partnerships</w:t>
      </w:r>
      <w:r w:rsidR="00365646">
        <w:t>.</w:t>
      </w:r>
      <w:r>
        <w:t xml:space="preserve"> There is a recognition that a certain knowledge and experience is essential for educational progress. </w:t>
      </w:r>
      <w:r w:rsidR="00365646">
        <w:t xml:space="preserve">This is the process of </w:t>
      </w:r>
      <w:r w:rsidR="00117FE0">
        <w:t xml:space="preserve">enlightenment, the discovery of </w:t>
      </w:r>
      <w:r w:rsidR="00464025">
        <w:t>‘</w:t>
      </w:r>
      <w:r w:rsidR="00117FE0">
        <w:t>one-another</w:t>
      </w:r>
      <w:r w:rsidR="00464025">
        <w:t xml:space="preserve">’ instead of </w:t>
      </w:r>
      <w:r w:rsidR="00117FE0">
        <w:t xml:space="preserve"> </w:t>
      </w:r>
      <w:r w:rsidR="00464025">
        <w:t>‘</w:t>
      </w:r>
      <w:r w:rsidR="00117FE0">
        <w:t>us and them</w:t>
      </w:r>
      <w:r w:rsidR="00464025">
        <w:t>’</w:t>
      </w:r>
      <w:r w:rsidR="00117FE0">
        <w:t xml:space="preserve">. </w:t>
      </w:r>
    </w:p>
    <w:p w14:paraId="26A1811A" w14:textId="77777777" w:rsidR="00E30075" w:rsidRDefault="00E30075" w:rsidP="00923AA6"/>
    <w:p w14:paraId="6C57730F" w14:textId="724266D3" w:rsidR="00EC0E7F" w:rsidRDefault="00923AA6" w:rsidP="00923AA6">
      <w:r>
        <w:t xml:space="preserve">When there is genuine voice, leadership, power and influence from the First Peoples the approaches to learning are more often than not successful. The </w:t>
      </w:r>
      <w:r>
        <w:rPr>
          <w:i/>
        </w:rPr>
        <w:t xml:space="preserve">Stronger Smarter Institute </w:t>
      </w:r>
      <w:r>
        <w:t xml:space="preserve">and </w:t>
      </w:r>
      <w:r w:rsidR="00141537">
        <w:rPr>
          <w:i/>
        </w:rPr>
        <w:t>AIME (</w:t>
      </w:r>
      <w:r>
        <w:rPr>
          <w:i/>
        </w:rPr>
        <w:t>Australian</w:t>
      </w:r>
      <w:r w:rsidR="00141537">
        <w:rPr>
          <w:i/>
        </w:rPr>
        <w:t xml:space="preserve"> Indigenous Mentoring Experience) </w:t>
      </w:r>
      <w:r w:rsidR="00141537">
        <w:t xml:space="preserve">both </w:t>
      </w:r>
      <w:r w:rsidR="00E30075">
        <w:t>offer</w:t>
      </w:r>
      <w:r>
        <w:t xml:space="preserve"> </w:t>
      </w:r>
      <w:r w:rsidR="00EC0E7F">
        <w:t xml:space="preserve">solid </w:t>
      </w:r>
      <w:r>
        <w:t>evidence that for educat</w:t>
      </w:r>
      <w:r w:rsidR="00E30075">
        <w:t>ional success you must have</w:t>
      </w:r>
      <w:r>
        <w:t xml:space="preserve"> important knowledge that is absent or at best spread dangerously thin through Government bureaucracies. Non-Indigenous people regularly testify that the Stronger Smarter Institute has provided the most illuminating and important professional development in their entire education career. At AIME, the non-Indigenous people, including me, can only applaud when this </w:t>
      </w:r>
      <w:r w:rsidR="00EC0E7F">
        <w:t xml:space="preserve">organisation </w:t>
      </w:r>
      <w:r>
        <w:t>is ranked by Business Review Weekly as the 26</w:t>
      </w:r>
      <w:r w:rsidRPr="00E35B49">
        <w:rPr>
          <w:vertAlign w:val="superscript"/>
        </w:rPr>
        <w:t>th</w:t>
      </w:r>
      <w:r>
        <w:t xml:space="preserve"> best workplace in the entire nation.  </w:t>
      </w:r>
    </w:p>
    <w:p w14:paraId="1E74FF0B" w14:textId="77777777" w:rsidR="00EC0E7F" w:rsidRDefault="00EC0E7F" w:rsidP="00923AA6"/>
    <w:p w14:paraId="13C55A27" w14:textId="1FD3DC09" w:rsidR="00923AA6" w:rsidRDefault="00EC0E7F" w:rsidP="00923AA6">
      <w:r>
        <w:t>What marks</w:t>
      </w:r>
      <w:r w:rsidR="00923AA6">
        <w:t xml:space="preserve"> successful programs</w:t>
      </w:r>
      <w:r w:rsidR="00596A89">
        <w:t xml:space="preserve"> like the</w:t>
      </w:r>
      <w:r w:rsidR="00E30075">
        <w:t>se</w:t>
      </w:r>
      <w:r w:rsidR="00923AA6">
        <w:t xml:space="preserve"> is the clear conviction that First Nations students are ca</w:t>
      </w:r>
      <w:r>
        <w:t>pable of educational excellence. There is</w:t>
      </w:r>
      <w:r w:rsidR="00923AA6">
        <w:t xml:space="preserve"> a </w:t>
      </w:r>
      <w:r>
        <w:t xml:space="preserve">respect for their identity. A </w:t>
      </w:r>
      <w:r w:rsidR="00923AA6">
        <w:t>healthy relationship with their peers, black and white</w:t>
      </w:r>
      <w:r>
        <w:t xml:space="preserve">, stands in sharp contrast to the polarisation and outright racism encountered by many </w:t>
      </w:r>
      <w:r w:rsidR="00E6760D">
        <w:t>other students</w:t>
      </w:r>
      <w:r w:rsidR="00923AA6">
        <w:t>.</w:t>
      </w:r>
      <w:r w:rsidR="00E10432">
        <w:t xml:space="preserve"> In this approach to education there is a shared power relationship, a shared process of discovery and a mutual pleasure and respect in learning.</w:t>
      </w:r>
      <w:r w:rsidR="00923AA6">
        <w:t xml:space="preserve"> </w:t>
      </w:r>
    </w:p>
    <w:p w14:paraId="06E63AA8" w14:textId="77777777" w:rsidR="00923AA6" w:rsidRDefault="00365646">
      <w:r>
        <w:t xml:space="preserve"> </w:t>
      </w:r>
    </w:p>
    <w:p w14:paraId="5B106CF2" w14:textId="504C270F" w:rsidR="00923AA6" w:rsidRDefault="00365646">
      <w:r>
        <w:t xml:space="preserve">I have watched this </w:t>
      </w:r>
      <w:r w:rsidR="00E6760D">
        <w:t xml:space="preserve">process </w:t>
      </w:r>
      <w:r>
        <w:t xml:space="preserve">close up working with </w:t>
      </w:r>
      <w:r w:rsidR="00923AA6">
        <w:t>the veteran Queensland educator, the Jirriba</w:t>
      </w:r>
      <w:r>
        <w:t>l elder, Dr Ernie Grant</w:t>
      </w:r>
      <w:r w:rsidR="00E6760D">
        <w:t>. This wonderfully thoughtful Old Man earlier in life learned to fly a plane and run a coffee plantation, but it was his unique approach to education that</w:t>
      </w:r>
      <w:r>
        <w:t xml:space="preserve"> has </w:t>
      </w:r>
      <w:r w:rsidR="00E10432">
        <w:t xml:space="preserve">inspired </w:t>
      </w:r>
      <w:r w:rsidR="00E6760D">
        <w:t xml:space="preserve">so many </w:t>
      </w:r>
      <w:r w:rsidR="00E10432">
        <w:t>black and white students and teachers</w:t>
      </w:r>
      <w:r w:rsidR="00E6760D">
        <w:t>.</w:t>
      </w:r>
      <w:r w:rsidR="00E10432">
        <w:t xml:space="preserve"> </w:t>
      </w:r>
      <w:r w:rsidR="00923AA6">
        <w:rPr>
          <w:i/>
        </w:rPr>
        <w:t xml:space="preserve">My Land, My Tracks, </w:t>
      </w:r>
      <w:r w:rsidR="00923AA6">
        <w:rPr>
          <w:rStyle w:val="FootnoteReference"/>
          <w:i/>
        </w:rPr>
        <w:footnoteReference w:id="11"/>
      </w:r>
      <w:r w:rsidR="00E10432">
        <w:t xml:space="preserve"> Dr Grant’s </w:t>
      </w:r>
      <w:r w:rsidR="00923AA6">
        <w:t>seminal study of the relationship of the First Peoples to the land, language, Culture, time and place</w:t>
      </w:r>
      <w:r w:rsidR="00E10432">
        <w:t xml:space="preserve">, evolved into the </w:t>
      </w:r>
      <w:r w:rsidR="00E10432">
        <w:rPr>
          <w:i/>
        </w:rPr>
        <w:t>Holistic Teaching and Planning Framework.</w:t>
      </w:r>
      <w:r w:rsidR="00E10432">
        <w:rPr>
          <w:rStyle w:val="FootnoteReference"/>
          <w:i/>
        </w:rPr>
        <w:footnoteReference w:id="12"/>
      </w:r>
      <w:r w:rsidR="00923AA6">
        <w:t xml:space="preserve"> </w:t>
      </w:r>
      <w:r w:rsidR="00E10432">
        <w:t xml:space="preserve"> This is pioneering education work that shows the interconnectedness of custodianship with </w:t>
      </w:r>
      <w:r w:rsidR="007713BE">
        <w:t xml:space="preserve">modern </w:t>
      </w:r>
      <w:r w:rsidR="00E10432">
        <w:t>earth science. It helps student and teacher come to understand the subtle and sophisticated intellectual knowledge system that more recently has been hailed in Bill Ga</w:t>
      </w:r>
      <w:r w:rsidR="007713BE">
        <w:t>m</w:t>
      </w:r>
      <w:r w:rsidR="00E10432">
        <w:t xml:space="preserve">mage’s outstanding work, </w:t>
      </w:r>
    </w:p>
    <w:p w14:paraId="2C8C51D7" w14:textId="694EFB2C" w:rsidR="007713BE" w:rsidRPr="007713BE" w:rsidRDefault="007713BE">
      <w:pPr>
        <w:rPr>
          <w:i/>
        </w:rPr>
      </w:pPr>
      <w:r>
        <w:rPr>
          <w:i/>
        </w:rPr>
        <w:t>The Biggest Estate on Earth</w:t>
      </w:r>
      <w:r>
        <w:rPr>
          <w:rStyle w:val="FootnoteReference"/>
          <w:i/>
        </w:rPr>
        <w:footnoteReference w:id="13"/>
      </w:r>
      <w:r w:rsidR="00096FE5">
        <w:rPr>
          <w:i/>
        </w:rPr>
        <w:t xml:space="preserve">. </w:t>
      </w:r>
    </w:p>
    <w:p w14:paraId="6804C5D3" w14:textId="77777777" w:rsidR="00923AA6" w:rsidRDefault="00923AA6"/>
    <w:p w14:paraId="2033B840" w14:textId="00B4E74A" w:rsidR="00365646" w:rsidRDefault="00096FE5">
      <w:r>
        <w:t xml:space="preserve">If teachers can bring this same </w:t>
      </w:r>
      <w:r w:rsidR="00E6760D">
        <w:t xml:space="preserve">interest and </w:t>
      </w:r>
      <w:r>
        <w:t xml:space="preserve">intellectual respect to other knowledge young people bring to school the relationship with your class and community may be entirely different.  </w:t>
      </w:r>
      <w:r w:rsidR="009274FD">
        <w:t xml:space="preserve">When </w:t>
      </w:r>
      <w:r w:rsidR="00365646">
        <w:t>teachers, nurses and doctors</w:t>
      </w:r>
      <w:r w:rsidR="009274FD">
        <w:t xml:space="preserve"> feel they are being cajoled into studying what are termed Indigenous issues</w:t>
      </w:r>
      <w:r w:rsidR="00365646">
        <w:t xml:space="preserve"> they may well miss out on the joy of that revelation in understanding that comes </w:t>
      </w:r>
      <w:r w:rsidR="009274FD">
        <w:t>when you begin to realise the depth of the Aboriginal way o</w:t>
      </w:r>
      <w:r w:rsidR="00E30075">
        <w:t>f seeing the world. This is the appreciation of</w:t>
      </w:r>
      <w:r w:rsidR="009274FD">
        <w:t xml:space="preserve"> Culture and it is there with open arms, inviting us to get close, to listen, to taste the country itself…and I will say it again, </w:t>
      </w:r>
      <w:r w:rsidR="00E30075">
        <w:t xml:space="preserve">to understand </w:t>
      </w:r>
      <w:r w:rsidR="009274FD">
        <w:t>what it means to be Australian.</w:t>
      </w:r>
      <w:r w:rsidR="00AC2343">
        <w:t xml:space="preserve"> This is how we </w:t>
      </w:r>
      <w:r w:rsidR="00365646">
        <w:t xml:space="preserve">close that space between us and discover the great strengths and many shades of creativity in the diversity of all of our peoples. </w:t>
      </w:r>
    </w:p>
    <w:p w14:paraId="13BB0FCA" w14:textId="2A40D0FA" w:rsidR="00E35B49" w:rsidRDefault="00365646">
      <w:r>
        <w:t>At Minyerri,</w:t>
      </w:r>
      <w:r w:rsidR="00AC2343">
        <w:t xml:space="preserve"> a remote community about 270 ks southeast of Katherine, I watched this open hearted engagement by an extraordinarily successful family of educators. Neil Gibson was a former AFL player and coach in that region and that may have given him a leg up</w:t>
      </w:r>
      <w:r w:rsidR="00E6760D">
        <w:t xml:space="preserve"> as school principal</w:t>
      </w:r>
      <w:r w:rsidR="00AC2343">
        <w:t>, but it was his wife, Michelle, also a teacher, who perhaps s</w:t>
      </w:r>
      <w:r w:rsidR="009274FD">
        <w:t>hared some of the</w:t>
      </w:r>
      <w:r w:rsidR="00AC2343">
        <w:t xml:space="preserve"> essential knowledge. Her father was an important Old Man who sat at the school and helped make it part of the community, not a gubba institution that was draining</w:t>
      </w:r>
      <w:r w:rsidR="009274FD">
        <w:t xml:space="preserve"> the strength of their </w:t>
      </w:r>
      <w:r w:rsidR="00AC2343">
        <w:t>identity and sense of place</w:t>
      </w:r>
      <w:r w:rsidR="009274FD">
        <w:t>, but a place where learning came naturally</w:t>
      </w:r>
      <w:r w:rsidR="00AC2343">
        <w:t xml:space="preserve">. </w:t>
      </w:r>
      <w:r w:rsidR="009274FD">
        <w:t xml:space="preserve">It was </w:t>
      </w:r>
      <w:r w:rsidR="009274FD">
        <w:rPr>
          <w:i/>
        </w:rPr>
        <w:t xml:space="preserve">their </w:t>
      </w:r>
      <w:r w:rsidR="009274FD">
        <w:t xml:space="preserve">school. </w:t>
      </w:r>
      <w:r w:rsidR="00AC2343">
        <w:t xml:space="preserve">Neil wandered the streets and knew the name of every child, 170 or so kids. My </w:t>
      </w:r>
      <w:r w:rsidR="009274FD">
        <w:t xml:space="preserve">young </w:t>
      </w:r>
      <w:r w:rsidR="00AC2343">
        <w:t xml:space="preserve">son, Will, commented at the time that these children were stronger, smarter, healthier…they had a gleam in the eye. Neil </w:t>
      </w:r>
      <w:r w:rsidR="009274FD">
        <w:t xml:space="preserve">Gibson </w:t>
      </w:r>
      <w:r w:rsidR="00AC2343">
        <w:t>would tell me that the knowledge at the grassroots level comes when you display that eagerness to seek out people</w:t>
      </w:r>
      <w:r w:rsidR="00E35B49">
        <w:t xml:space="preserve"> and develop a real interest in what they know, how they see life and how they would tackle all of the challenges of remote community life. Many decades of teaching, a continuity of the principal and even assistant principal for seven or more years, </w:t>
      </w:r>
      <w:r w:rsidR="009274FD">
        <w:t xml:space="preserve">these </w:t>
      </w:r>
      <w:r w:rsidR="00E35B49">
        <w:t>are important factors in the success of remote schools. With the right leadership, resourcing and quality of staff, it is possible to deliver first</w:t>
      </w:r>
      <w:r w:rsidR="009274FD">
        <w:t>-</w:t>
      </w:r>
      <w:r w:rsidR="00E35B49">
        <w:t xml:space="preserve"> rate schooling</w:t>
      </w:r>
      <w:r w:rsidR="009274FD">
        <w:t xml:space="preserve"> in isolated communities</w:t>
      </w:r>
      <w:r w:rsidR="00E35B49">
        <w:t>. But as Neil would tell you if h</w:t>
      </w:r>
      <w:r w:rsidR="00E30075">
        <w:t>e were here, for Years 10 to 12</w:t>
      </w:r>
      <w:r w:rsidR="00E35B49">
        <w:t xml:space="preserve"> </w:t>
      </w:r>
      <w:r w:rsidR="009274FD">
        <w:t>the Minyerri kids still have</w:t>
      </w:r>
      <w:r w:rsidR="00E35B49">
        <w:t xml:space="preserve"> to pack their bags and travel to a secondary school.</w:t>
      </w:r>
      <w:r>
        <w:t xml:space="preserve"> </w:t>
      </w:r>
      <w:r w:rsidR="00E6760D">
        <w:t>Some will handle that journey and many won’t. We must challenge the tyranny of experts to make sure that they don’t forget about the thousands of students that choose to stay at home.</w:t>
      </w:r>
    </w:p>
    <w:p w14:paraId="1660372F" w14:textId="77777777" w:rsidR="00E6760D" w:rsidRDefault="00E6760D"/>
    <w:p w14:paraId="286D96D7" w14:textId="77777777" w:rsidR="00E30075" w:rsidRDefault="00E6760D">
      <w:r>
        <w:t>If we look at the Big Picture</w:t>
      </w:r>
      <w:r w:rsidR="00F54764">
        <w:t xml:space="preserve"> we should be encouraged. The World Bank tells us that global poverty and illiteracy are rapidly retreating</w:t>
      </w:r>
      <w:r w:rsidR="00F54764">
        <w:rPr>
          <w:rStyle w:val="FootnoteReference"/>
        </w:rPr>
        <w:footnoteReference w:id="14"/>
      </w:r>
      <w:r w:rsidR="00F54764">
        <w:t>. In Australia’s case we need to show more creativity and conviction to address the poverty and illiteracy that remains in the heartland. Another rec</w:t>
      </w:r>
      <w:r w:rsidR="0018087D">
        <w:t>ent report by experts, the Abbo</w:t>
      </w:r>
      <w:r w:rsidR="00F54764">
        <w:t>tt Government’s report on the operations of the National Partnership Agreement on Remote Service Delivery</w:t>
      </w:r>
      <w:r w:rsidR="0018087D">
        <w:rPr>
          <w:rStyle w:val="FootnoteReference"/>
        </w:rPr>
        <w:footnoteReference w:id="15"/>
      </w:r>
      <w:r w:rsidR="00F54764">
        <w:t xml:space="preserve"> , highlights the </w:t>
      </w:r>
      <w:r w:rsidR="0018087D">
        <w:t xml:space="preserve">telling failure of all levels of Government in trying to coordinate six years of spending on Aboriginal development.  Historians will look back on the period of extraordinary federal power over the lives of remote communities since the Howard years and the Northern Territory Intervention and see that billions of dollars have been wasted on a vast bureaucracy administering countless programs that have made very little material change to the lives of most people in these largely forgotten places. </w:t>
      </w:r>
    </w:p>
    <w:p w14:paraId="3ACDC95D" w14:textId="77777777" w:rsidR="00E30075" w:rsidRDefault="00E30075"/>
    <w:p w14:paraId="02746A3A" w14:textId="1DACFF0B" w:rsidR="00E6760D" w:rsidRDefault="00E30075">
      <w:r>
        <w:t>The wellbeing of all Australian children, especially the poorest, is the single most important test of whether or not Australia becomes a great society. Having wandered most of this world for more than fifty years I am certain that Australia is closer to greatness and happiness as a society than anywhere</w:t>
      </w:r>
      <w:r w:rsidR="00900D6F">
        <w:t xml:space="preserve"> I have been. We need to believe in our egalitarian tradition, our almost mythical sense of equality, because inequalities of all kinds, but especially in public education, undermine the health and wellbeing of our entire society. We need to use every breath to rise above the narrow self-interest of this political era and think of the shining talents in each and every</w:t>
      </w:r>
      <w:r w:rsidR="00596A89">
        <w:t xml:space="preserve"> </w:t>
      </w:r>
      <w:r w:rsidR="00900D6F">
        <w:t>one of our children…all of our children.</w:t>
      </w:r>
      <w:r w:rsidR="00B24788">
        <w:t xml:space="preserve"> </w:t>
      </w:r>
    </w:p>
    <w:p w14:paraId="242121DF" w14:textId="77777777" w:rsidR="00E35B49" w:rsidRDefault="00E35B49"/>
    <w:p w14:paraId="4B10BBB5" w14:textId="3910DA27" w:rsidR="0023602E" w:rsidRPr="00E95294" w:rsidRDefault="00E95294">
      <w:r>
        <w:t xml:space="preserve"> </w:t>
      </w:r>
    </w:p>
    <w:sectPr w:rsidR="0023602E" w:rsidRPr="00E95294" w:rsidSect="002205A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F32DB" w14:textId="77777777" w:rsidR="00141537" w:rsidRDefault="00141537" w:rsidP="00D91D9E">
      <w:r>
        <w:separator/>
      </w:r>
    </w:p>
  </w:endnote>
  <w:endnote w:type="continuationSeparator" w:id="0">
    <w:p w14:paraId="57853322" w14:textId="77777777" w:rsidR="00141537" w:rsidRDefault="00141537" w:rsidP="00D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FF6" w14:textId="77777777" w:rsidR="00141537" w:rsidRDefault="00141537" w:rsidP="004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6BDB1" w14:textId="77777777" w:rsidR="00141537" w:rsidRDefault="001415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4541" w14:textId="77777777" w:rsidR="00141537" w:rsidRDefault="00141537" w:rsidP="004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C37">
      <w:rPr>
        <w:rStyle w:val="PageNumber"/>
        <w:noProof/>
      </w:rPr>
      <w:t>1</w:t>
    </w:r>
    <w:r>
      <w:rPr>
        <w:rStyle w:val="PageNumber"/>
      </w:rPr>
      <w:fldChar w:fldCharType="end"/>
    </w:r>
  </w:p>
  <w:p w14:paraId="4A1452E0" w14:textId="77777777" w:rsidR="00141537" w:rsidRDefault="001415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5A4A" w14:textId="77777777" w:rsidR="00141537" w:rsidRDefault="00141537" w:rsidP="00D91D9E">
      <w:r>
        <w:separator/>
      </w:r>
    </w:p>
  </w:footnote>
  <w:footnote w:type="continuationSeparator" w:id="0">
    <w:p w14:paraId="38BD79A1" w14:textId="77777777" w:rsidR="00141537" w:rsidRDefault="00141537" w:rsidP="00D91D9E">
      <w:r>
        <w:continuationSeparator/>
      </w:r>
    </w:p>
  </w:footnote>
  <w:footnote w:id="1">
    <w:p w14:paraId="7F844B2E" w14:textId="77777777" w:rsidR="00141537" w:rsidRPr="00D91D9E" w:rsidRDefault="00141537">
      <w:pPr>
        <w:pStyle w:val="FootnoteText"/>
        <w:rPr>
          <w:sz w:val="18"/>
          <w:szCs w:val="18"/>
          <w:lang w:val="en-US"/>
        </w:rPr>
      </w:pPr>
      <w:r>
        <w:rPr>
          <w:rStyle w:val="FootnoteReference"/>
        </w:rPr>
        <w:footnoteRef/>
      </w:r>
      <w:r>
        <w:t xml:space="preserve"> </w:t>
      </w:r>
      <w:r>
        <w:rPr>
          <w:sz w:val="18"/>
          <w:szCs w:val="18"/>
          <w:lang w:val="en-US"/>
        </w:rPr>
        <w:t xml:space="preserve">Easterly, William. </w:t>
      </w:r>
      <w:r>
        <w:rPr>
          <w:i/>
          <w:sz w:val="18"/>
          <w:szCs w:val="18"/>
          <w:lang w:val="en-US"/>
        </w:rPr>
        <w:t xml:space="preserve">The Tyranny of Experts, </w:t>
      </w:r>
      <w:r>
        <w:rPr>
          <w:sz w:val="18"/>
          <w:szCs w:val="18"/>
          <w:lang w:val="en-US"/>
        </w:rPr>
        <w:t>Published by Basic/ Perseus Book Group. New York 2013.</w:t>
      </w:r>
    </w:p>
  </w:footnote>
  <w:footnote w:id="2">
    <w:p w14:paraId="5967BB0B" w14:textId="504F175C" w:rsidR="00141537" w:rsidRDefault="00141537">
      <w:pPr>
        <w:pStyle w:val="FootnoteText"/>
        <w:rPr>
          <w:sz w:val="18"/>
          <w:szCs w:val="18"/>
          <w:lang w:val="en-US"/>
        </w:rPr>
      </w:pPr>
      <w:r>
        <w:rPr>
          <w:rStyle w:val="FootnoteReference"/>
        </w:rPr>
        <w:footnoteRef/>
      </w:r>
      <w:r>
        <w:t xml:space="preserve"> </w:t>
      </w:r>
      <w:r>
        <w:rPr>
          <w:sz w:val="18"/>
          <w:szCs w:val="18"/>
          <w:lang w:val="en-US"/>
        </w:rPr>
        <w:t xml:space="preserve">Forest, Andrew </w:t>
      </w:r>
      <w:r>
        <w:rPr>
          <w:i/>
          <w:sz w:val="18"/>
          <w:szCs w:val="18"/>
          <w:lang w:val="en-US"/>
        </w:rPr>
        <w:t xml:space="preserve">et al.  The Forest Review – Creating Parity, </w:t>
      </w:r>
      <w:r>
        <w:rPr>
          <w:sz w:val="18"/>
          <w:szCs w:val="18"/>
          <w:lang w:val="en-US"/>
        </w:rPr>
        <w:t>Commonwealth of Australia. Canberra 2014.</w:t>
      </w:r>
    </w:p>
    <w:p w14:paraId="1EBCE2F6" w14:textId="447A2899" w:rsidR="00141537" w:rsidRPr="00164240" w:rsidRDefault="00995C37">
      <w:pPr>
        <w:pStyle w:val="FootnoteText"/>
        <w:rPr>
          <w:sz w:val="18"/>
          <w:szCs w:val="18"/>
          <w:lang w:val="en-US"/>
        </w:rPr>
      </w:pPr>
      <w:hyperlink r:id="rId1" w:history="1">
        <w:r w:rsidR="00141537" w:rsidRPr="00293C2C">
          <w:rPr>
            <w:rStyle w:val="Hyperlink"/>
            <w:sz w:val="18"/>
            <w:szCs w:val="18"/>
            <w:lang w:val="en-US"/>
          </w:rPr>
          <w:t>http://indigenousjobsandtrainingreview.dpmc.gov.au/sites/default/files/files/The_Forrest_Review.pdf</w:t>
        </w:r>
      </w:hyperlink>
    </w:p>
  </w:footnote>
  <w:footnote w:id="3">
    <w:p w14:paraId="3C321236" w14:textId="5C7ACA43" w:rsidR="00141537" w:rsidRPr="00164240" w:rsidRDefault="00141537">
      <w:pPr>
        <w:pStyle w:val="FootnoteText"/>
        <w:rPr>
          <w:sz w:val="18"/>
          <w:szCs w:val="18"/>
          <w:lang w:val="en-US"/>
        </w:rPr>
      </w:pPr>
      <w:r>
        <w:rPr>
          <w:rStyle w:val="FootnoteReference"/>
        </w:rPr>
        <w:footnoteRef/>
      </w:r>
      <w:r>
        <w:t xml:space="preserve"> </w:t>
      </w:r>
      <w:r>
        <w:rPr>
          <w:sz w:val="18"/>
          <w:szCs w:val="18"/>
          <w:lang w:val="en-US"/>
        </w:rPr>
        <w:t xml:space="preserve">Wilson, Bruce. </w:t>
      </w:r>
      <w:r>
        <w:rPr>
          <w:i/>
          <w:sz w:val="18"/>
          <w:szCs w:val="18"/>
          <w:lang w:val="en-US"/>
        </w:rPr>
        <w:t>Review of Indigenous Education in the NT – A Share in the Future.</w:t>
      </w:r>
      <w:r>
        <w:rPr>
          <w:sz w:val="18"/>
          <w:szCs w:val="18"/>
          <w:lang w:val="en-US"/>
        </w:rPr>
        <w:t xml:space="preserve">The Education Business. Melbourne 2014. </w:t>
      </w:r>
      <w:hyperlink r:id="rId2" w:history="1">
        <w:r w:rsidRPr="00293C2C">
          <w:rPr>
            <w:rStyle w:val="Hyperlink"/>
            <w:sz w:val="18"/>
            <w:szCs w:val="18"/>
            <w:lang w:val="en-US" w:eastAsia="ja-JP"/>
          </w:rPr>
          <w:t>www.education.nt.gov.au/__.../Indigenous-Education-Review_DRAFT</w:t>
        </w:r>
      </w:hyperlink>
      <w:r>
        <w:rPr>
          <w:color w:val="005613"/>
          <w:sz w:val="18"/>
          <w:szCs w:val="18"/>
          <w:lang w:val="en-US" w:eastAsia="ja-JP"/>
        </w:rPr>
        <w:t xml:space="preserve"> </w:t>
      </w:r>
    </w:p>
  </w:footnote>
  <w:footnote w:id="4">
    <w:p w14:paraId="15AD792C" w14:textId="742DE87B" w:rsidR="00141537" w:rsidRPr="003A683C" w:rsidRDefault="00141537">
      <w:pPr>
        <w:pStyle w:val="FootnoteText"/>
        <w:rPr>
          <w:sz w:val="18"/>
          <w:szCs w:val="18"/>
          <w:lang w:val="en-US"/>
        </w:rPr>
      </w:pPr>
      <w:r>
        <w:rPr>
          <w:rStyle w:val="FootnoteReference"/>
        </w:rPr>
        <w:footnoteRef/>
      </w:r>
      <w:r>
        <w:t xml:space="preserve"> </w:t>
      </w:r>
      <w:r>
        <w:rPr>
          <w:sz w:val="18"/>
          <w:szCs w:val="18"/>
          <w:lang w:val="en-US"/>
        </w:rPr>
        <w:t xml:space="preserve">Collins, Senator Bob. </w:t>
      </w:r>
      <w:r>
        <w:rPr>
          <w:i/>
          <w:sz w:val="18"/>
          <w:szCs w:val="18"/>
          <w:lang w:val="en-US"/>
        </w:rPr>
        <w:t xml:space="preserve">Learning Lessons. </w:t>
      </w:r>
      <w:r>
        <w:rPr>
          <w:sz w:val="18"/>
          <w:szCs w:val="18"/>
          <w:lang w:val="en-US"/>
        </w:rPr>
        <w:t>Independent Review of NT Indigenous Education. Darwin. 1999.</w:t>
      </w:r>
    </w:p>
  </w:footnote>
  <w:footnote w:id="5">
    <w:p w14:paraId="4E30E95F" w14:textId="77777777" w:rsidR="00141537" w:rsidRPr="00164240" w:rsidRDefault="00141537" w:rsidP="00620E52">
      <w:pPr>
        <w:pStyle w:val="FootnoteText"/>
        <w:rPr>
          <w:sz w:val="18"/>
          <w:szCs w:val="18"/>
          <w:lang w:val="en-US"/>
        </w:rPr>
      </w:pPr>
      <w:r>
        <w:rPr>
          <w:rStyle w:val="FootnoteReference"/>
        </w:rPr>
        <w:footnoteRef/>
      </w:r>
      <w:r>
        <w:t xml:space="preserve"> </w:t>
      </w:r>
      <w:r>
        <w:rPr>
          <w:sz w:val="18"/>
          <w:szCs w:val="18"/>
          <w:lang w:val="en-US"/>
        </w:rPr>
        <w:t xml:space="preserve">Wilson, Bruce. </w:t>
      </w:r>
      <w:r>
        <w:rPr>
          <w:i/>
          <w:sz w:val="18"/>
          <w:szCs w:val="18"/>
          <w:lang w:val="en-US"/>
        </w:rPr>
        <w:t>Review of Indigenous Education in the NT – A Share in the Future.</w:t>
      </w:r>
      <w:r>
        <w:rPr>
          <w:sz w:val="18"/>
          <w:szCs w:val="18"/>
          <w:lang w:val="en-US"/>
        </w:rPr>
        <w:t xml:space="preserve">The Education Business. Melbourne 2014. </w:t>
      </w:r>
      <w:hyperlink r:id="rId3" w:history="1">
        <w:r w:rsidRPr="00293C2C">
          <w:rPr>
            <w:rStyle w:val="Hyperlink"/>
            <w:sz w:val="18"/>
            <w:szCs w:val="18"/>
            <w:lang w:val="en-US" w:eastAsia="ja-JP"/>
          </w:rPr>
          <w:t>www.education.nt.gov.au/__.../Indigenous-Education-Review_DRAFT</w:t>
        </w:r>
      </w:hyperlink>
      <w:r>
        <w:rPr>
          <w:color w:val="005613"/>
          <w:sz w:val="18"/>
          <w:szCs w:val="18"/>
          <w:lang w:val="en-US" w:eastAsia="ja-JP"/>
        </w:rPr>
        <w:t xml:space="preserve"> </w:t>
      </w:r>
    </w:p>
    <w:p w14:paraId="29A89CCF" w14:textId="0C3451C0" w:rsidR="00141537" w:rsidRPr="00620E52" w:rsidRDefault="00141537">
      <w:pPr>
        <w:pStyle w:val="FootnoteText"/>
        <w:rPr>
          <w:sz w:val="18"/>
          <w:szCs w:val="18"/>
          <w:lang w:val="en-US"/>
        </w:rPr>
      </w:pPr>
    </w:p>
  </w:footnote>
  <w:footnote w:id="6">
    <w:p w14:paraId="6E2DBE4C" w14:textId="6FB60253" w:rsidR="00141537" w:rsidRPr="00530932" w:rsidRDefault="00141537">
      <w:pPr>
        <w:pStyle w:val="FootnoteText"/>
        <w:rPr>
          <w:sz w:val="18"/>
          <w:szCs w:val="18"/>
          <w:lang w:val="en-US"/>
        </w:rPr>
      </w:pPr>
      <w:r>
        <w:rPr>
          <w:rStyle w:val="FootnoteReference"/>
        </w:rPr>
        <w:footnoteRef/>
      </w:r>
      <w:r>
        <w:t xml:space="preserve"> </w:t>
      </w:r>
      <w:r>
        <w:rPr>
          <w:sz w:val="18"/>
          <w:szCs w:val="18"/>
          <w:lang w:val="en-US"/>
        </w:rPr>
        <w:t xml:space="preserve">McMullen, Jeff. </w:t>
      </w:r>
      <w:r>
        <w:rPr>
          <w:i/>
          <w:sz w:val="18"/>
          <w:szCs w:val="18"/>
          <w:lang w:val="en-US"/>
        </w:rPr>
        <w:t>Dispossession – Neo-Liberalism and the Struggle for Aboriginal land and Rights in the 21</w:t>
      </w:r>
      <w:r w:rsidRPr="00530932">
        <w:rPr>
          <w:i/>
          <w:sz w:val="18"/>
          <w:szCs w:val="18"/>
          <w:vertAlign w:val="superscript"/>
          <w:lang w:val="en-US"/>
        </w:rPr>
        <w:t>st</w:t>
      </w:r>
      <w:r>
        <w:rPr>
          <w:i/>
          <w:sz w:val="18"/>
          <w:szCs w:val="18"/>
          <w:lang w:val="en-US"/>
        </w:rPr>
        <w:t xml:space="preserve"> Century. </w:t>
      </w:r>
      <w:r>
        <w:rPr>
          <w:sz w:val="18"/>
          <w:szCs w:val="18"/>
          <w:lang w:val="en-US"/>
        </w:rPr>
        <w:t>In Black &amp; White – Australians All at the Crossroads. Editors Rhonda Craven, Anthony Dillon &amp; Nigel Parbury. Publisher Connor Court.. Ballan. Vic. 2013.</w:t>
      </w:r>
    </w:p>
  </w:footnote>
  <w:footnote w:id="7">
    <w:p w14:paraId="4485668C" w14:textId="32BD194C" w:rsidR="00141537" w:rsidRPr="00DD1BCD" w:rsidRDefault="00141537">
      <w:pPr>
        <w:pStyle w:val="FootnoteText"/>
        <w:rPr>
          <w:sz w:val="18"/>
          <w:szCs w:val="18"/>
          <w:lang w:val="en-US"/>
        </w:rPr>
      </w:pPr>
      <w:r>
        <w:rPr>
          <w:rStyle w:val="FootnoteReference"/>
        </w:rPr>
        <w:footnoteRef/>
      </w:r>
      <w:r>
        <w:t xml:space="preserve"> </w:t>
      </w:r>
      <w:r>
        <w:rPr>
          <w:sz w:val="18"/>
          <w:szCs w:val="18"/>
          <w:lang w:val="en-US"/>
        </w:rPr>
        <w:t xml:space="preserve">Harvey, David. </w:t>
      </w:r>
      <w:r>
        <w:rPr>
          <w:i/>
          <w:sz w:val="18"/>
          <w:szCs w:val="18"/>
          <w:lang w:val="en-US"/>
        </w:rPr>
        <w:t xml:space="preserve">A Short History of Neo-Liberalism. </w:t>
      </w:r>
      <w:r>
        <w:rPr>
          <w:sz w:val="18"/>
          <w:szCs w:val="18"/>
          <w:lang w:val="en-US"/>
        </w:rPr>
        <w:t>p</w:t>
      </w:r>
      <w:r w:rsidRPr="00DD1BCD">
        <w:rPr>
          <w:sz w:val="18"/>
          <w:szCs w:val="18"/>
          <w:lang w:val="en-US"/>
        </w:rPr>
        <w:t>p 159-164</w:t>
      </w:r>
      <w:r>
        <w:rPr>
          <w:i/>
          <w:sz w:val="18"/>
          <w:szCs w:val="18"/>
          <w:lang w:val="en-US"/>
        </w:rPr>
        <w:t xml:space="preserve">. </w:t>
      </w:r>
      <w:r>
        <w:rPr>
          <w:sz w:val="18"/>
          <w:szCs w:val="18"/>
          <w:lang w:val="en-US"/>
        </w:rPr>
        <w:t>Oxford University Press. Oxford. 2005.</w:t>
      </w:r>
    </w:p>
  </w:footnote>
  <w:footnote w:id="8">
    <w:p w14:paraId="11451E5F" w14:textId="77777777" w:rsidR="00141537" w:rsidRPr="00A9215E" w:rsidRDefault="00141537">
      <w:pPr>
        <w:pStyle w:val="FootnoteText"/>
        <w:rPr>
          <w:sz w:val="18"/>
          <w:szCs w:val="18"/>
          <w:lang w:val="en-US"/>
        </w:rPr>
      </w:pPr>
      <w:r>
        <w:rPr>
          <w:rStyle w:val="FootnoteReference"/>
        </w:rPr>
        <w:footnoteRef/>
      </w:r>
      <w:r>
        <w:t xml:space="preserve"> </w:t>
      </w:r>
      <w:r>
        <w:rPr>
          <w:sz w:val="18"/>
          <w:szCs w:val="18"/>
          <w:lang w:val="en-US"/>
        </w:rPr>
        <w:t xml:space="preserve">Coleman, Peter. </w:t>
      </w:r>
      <w:r>
        <w:rPr>
          <w:i/>
          <w:sz w:val="18"/>
          <w:szCs w:val="18"/>
          <w:lang w:val="en-US"/>
        </w:rPr>
        <w:t xml:space="preserve">Q&amp;A, ABC Television, </w:t>
      </w:r>
      <w:r>
        <w:rPr>
          <w:sz w:val="18"/>
          <w:szCs w:val="18"/>
          <w:lang w:val="en-US"/>
        </w:rPr>
        <w:t>June 9</w:t>
      </w:r>
      <w:r w:rsidRPr="00A9215E">
        <w:rPr>
          <w:sz w:val="18"/>
          <w:szCs w:val="18"/>
          <w:vertAlign w:val="superscript"/>
          <w:lang w:val="en-US"/>
        </w:rPr>
        <w:t>th</w:t>
      </w:r>
      <w:r>
        <w:rPr>
          <w:sz w:val="18"/>
          <w:szCs w:val="18"/>
          <w:lang w:val="en-US"/>
        </w:rPr>
        <w:t xml:space="preserve"> 2014.</w:t>
      </w:r>
    </w:p>
  </w:footnote>
  <w:footnote w:id="9">
    <w:p w14:paraId="7038EA90" w14:textId="46ECBAB6" w:rsidR="00141537" w:rsidRPr="00464025" w:rsidRDefault="00141537">
      <w:pPr>
        <w:pStyle w:val="FootnoteText"/>
        <w:rPr>
          <w:sz w:val="18"/>
          <w:szCs w:val="18"/>
          <w:lang w:val="en-US"/>
        </w:rPr>
      </w:pPr>
      <w:r>
        <w:rPr>
          <w:rStyle w:val="FootnoteReference"/>
        </w:rPr>
        <w:footnoteRef/>
      </w:r>
      <w:r>
        <w:t xml:space="preserve"> </w:t>
      </w:r>
      <w:r>
        <w:rPr>
          <w:sz w:val="18"/>
          <w:szCs w:val="18"/>
          <w:lang w:val="en-US"/>
        </w:rPr>
        <w:t xml:space="preserve">Kunoth-Monks, Rosalie. </w:t>
      </w:r>
      <w:r>
        <w:rPr>
          <w:i/>
          <w:sz w:val="18"/>
          <w:szCs w:val="18"/>
          <w:lang w:val="en-US"/>
        </w:rPr>
        <w:t xml:space="preserve">Q&amp;A, ABC Television, </w:t>
      </w:r>
      <w:r>
        <w:rPr>
          <w:sz w:val="18"/>
          <w:szCs w:val="18"/>
          <w:lang w:val="en-US"/>
        </w:rPr>
        <w:t>June 9</w:t>
      </w:r>
      <w:r w:rsidRPr="00464025">
        <w:rPr>
          <w:sz w:val="18"/>
          <w:szCs w:val="18"/>
          <w:vertAlign w:val="superscript"/>
          <w:lang w:val="en-US"/>
        </w:rPr>
        <w:t>th</w:t>
      </w:r>
      <w:r>
        <w:rPr>
          <w:sz w:val="18"/>
          <w:szCs w:val="18"/>
          <w:lang w:val="en-US"/>
        </w:rPr>
        <w:t xml:space="preserve"> 2014.</w:t>
      </w:r>
    </w:p>
  </w:footnote>
  <w:footnote w:id="10">
    <w:p w14:paraId="663C7C71" w14:textId="4C1A2B31" w:rsidR="00141537" w:rsidRPr="005B5F39" w:rsidRDefault="00141537">
      <w:pPr>
        <w:pStyle w:val="FootnoteText"/>
        <w:rPr>
          <w:sz w:val="18"/>
          <w:szCs w:val="18"/>
          <w:lang w:val="en-US"/>
        </w:rPr>
      </w:pPr>
      <w:r>
        <w:rPr>
          <w:rStyle w:val="FootnoteReference"/>
        </w:rPr>
        <w:footnoteRef/>
      </w:r>
      <w:r>
        <w:t xml:space="preserve"> </w:t>
      </w:r>
      <w:r>
        <w:rPr>
          <w:sz w:val="18"/>
          <w:szCs w:val="18"/>
          <w:lang w:val="en-US"/>
        </w:rPr>
        <w:t xml:space="preserve">Goodall, Jane. </w:t>
      </w:r>
      <w:r>
        <w:rPr>
          <w:i/>
          <w:sz w:val="18"/>
          <w:szCs w:val="18"/>
          <w:lang w:val="en-US"/>
        </w:rPr>
        <w:t xml:space="preserve">Q&amp;A, ABC Television, </w:t>
      </w:r>
      <w:r>
        <w:rPr>
          <w:sz w:val="18"/>
          <w:szCs w:val="18"/>
          <w:lang w:val="en-US"/>
        </w:rPr>
        <w:t>June 9</w:t>
      </w:r>
      <w:r w:rsidRPr="005B5F39">
        <w:rPr>
          <w:sz w:val="18"/>
          <w:szCs w:val="18"/>
          <w:vertAlign w:val="superscript"/>
          <w:lang w:val="en-US"/>
        </w:rPr>
        <w:t>th</w:t>
      </w:r>
      <w:r>
        <w:rPr>
          <w:sz w:val="18"/>
          <w:szCs w:val="18"/>
          <w:lang w:val="en-US"/>
        </w:rPr>
        <w:t xml:space="preserve"> 2014.</w:t>
      </w:r>
    </w:p>
  </w:footnote>
  <w:footnote w:id="11">
    <w:p w14:paraId="790085BD" w14:textId="31471EC9" w:rsidR="00141537" w:rsidRPr="00923AA6" w:rsidRDefault="00141537">
      <w:pPr>
        <w:pStyle w:val="FootnoteText"/>
        <w:rPr>
          <w:lang w:val="en-US"/>
        </w:rPr>
      </w:pPr>
      <w:r>
        <w:rPr>
          <w:rStyle w:val="FootnoteReference"/>
        </w:rPr>
        <w:footnoteRef/>
      </w:r>
      <w:r>
        <w:t xml:space="preserve"> </w:t>
      </w:r>
      <w:r>
        <w:rPr>
          <w:sz w:val="18"/>
          <w:szCs w:val="18"/>
          <w:lang w:val="en-US"/>
        </w:rPr>
        <w:t xml:space="preserve">Grant, Ernie. </w:t>
      </w:r>
      <w:r>
        <w:rPr>
          <w:i/>
          <w:sz w:val="18"/>
          <w:szCs w:val="18"/>
          <w:lang w:val="en-US"/>
        </w:rPr>
        <w:t xml:space="preserve">My Land, My Tracks. </w:t>
      </w:r>
      <w:r>
        <w:rPr>
          <w:sz w:val="18"/>
          <w:szCs w:val="18"/>
          <w:lang w:val="en-US"/>
        </w:rPr>
        <w:t>Published by Innisfail &amp; District Education Centre. Innisfail. Qld. 1998.</w:t>
      </w:r>
    </w:p>
  </w:footnote>
  <w:footnote w:id="12">
    <w:p w14:paraId="634B5323" w14:textId="0985AEA3" w:rsidR="00141537" w:rsidRPr="00E10432" w:rsidRDefault="00141537">
      <w:pPr>
        <w:pStyle w:val="FootnoteText"/>
        <w:rPr>
          <w:sz w:val="18"/>
          <w:szCs w:val="18"/>
          <w:lang w:val="en-US"/>
        </w:rPr>
      </w:pPr>
      <w:r>
        <w:rPr>
          <w:rStyle w:val="FootnoteReference"/>
        </w:rPr>
        <w:footnoteRef/>
      </w:r>
      <w:r>
        <w:t xml:space="preserve"> </w:t>
      </w:r>
      <w:r>
        <w:rPr>
          <w:sz w:val="18"/>
          <w:szCs w:val="18"/>
          <w:lang w:val="en-US"/>
        </w:rPr>
        <w:t xml:space="preserve">Grant, Dr Ernie. </w:t>
      </w:r>
      <w:r>
        <w:rPr>
          <w:i/>
          <w:sz w:val="18"/>
          <w:szCs w:val="18"/>
          <w:lang w:val="en-US"/>
        </w:rPr>
        <w:t xml:space="preserve">HolisticPlanning &amp; Teaching Framework. </w:t>
      </w:r>
      <w:r>
        <w:rPr>
          <w:sz w:val="18"/>
          <w:szCs w:val="18"/>
          <w:lang w:val="en-US"/>
        </w:rPr>
        <w:t>Produced by Critical Mass Media. Qld. 2005.</w:t>
      </w:r>
    </w:p>
  </w:footnote>
  <w:footnote w:id="13">
    <w:p w14:paraId="2A4EFBFF" w14:textId="59A75BF1" w:rsidR="00141537" w:rsidRPr="007713BE" w:rsidRDefault="00141537">
      <w:pPr>
        <w:pStyle w:val="FootnoteText"/>
        <w:rPr>
          <w:sz w:val="18"/>
          <w:szCs w:val="18"/>
          <w:lang w:val="en-US"/>
        </w:rPr>
      </w:pPr>
      <w:r>
        <w:rPr>
          <w:rStyle w:val="FootnoteReference"/>
        </w:rPr>
        <w:footnoteRef/>
      </w:r>
      <w:r>
        <w:t xml:space="preserve"> </w:t>
      </w:r>
      <w:r>
        <w:rPr>
          <w:sz w:val="18"/>
          <w:szCs w:val="18"/>
          <w:lang w:val="en-US"/>
        </w:rPr>
        <w:t xml:space="preserve">Gammage, Bill. </w:t>
      </w:r>
      <w:r>
        <w:rPr>
          <w:i/>
          <w:sz w:val="18"/>
          <w:szCs w:val="18"/>
          <w:lang w:val="en-US"/>
        </w:rPr>
        <w:t xml:space="preserve">The Biggest Estate on Earth, How Aborigines Made Australia. </w:t>
      </w:r>
      <w:r>
        <w:rPr>
          <w:sz w:val="18"/>
          <w:szCs w:val="18"/>
          <w:lang w:val="en-US"/>
        </w:rPr>
        <w:t>Allen &amp; Unwin. 2011.</w:t>
      </w:r>
    </w:p>
  </w:footnote>
  <w:footnote w:id="14">
    <w:p w14:paraId="13F229D2" w14:textId="2FAD68BD" w:rsidR="00141537" w:rsidRPr="00F54764" w:rsidRDefault="00141537">
      <w:pPr>
        <w:pStyle w:val="FootnoteText"/>
        <w:rPr>
          <w:sz w:val="18"/>
          <w:szCs w:val="18"/>
          <w:lang w:val="en-US"/>
        </w:rPr>
      </w:pPr>
      <w:r>
        <w:rPr>
          <w:rStyle w:val="FootnoteReference"/>
        </w:rPr>
        <w:footnoteRef/>
      </w:r>
      <w:r>
        <w:t xml:space="preserve"> </w:t>
      </w:r>
      <w:r>
        <w:rPr>
          <w:sz w:val="18"/>
          <w:szCs w:val="18"/>
          <w:lang w:val="en-US"/>
        </w:rPr>
        <w:t xml:space="preserve">Kristof, Nicholas. </w:t>
      </w:r>
      <w:r>
        <w:rPr>
          <w:i/>
          <w:sz w:val="18"/>
          <w:szCs w:val="18"/>
          <w:lang w:val="en-US"/>
        </w:rPr>
        <w:t xml:space="preserve">Poverty in retreat Worldwide. </w:t>
      </w:r>
      <w:r>
        <w:rPr>
          <w:sz w:val="18"/>
          <w:szCs w:val="18"/>
          <w:lang w:val="en-US"/>
        </w:rPr>
        <w:t>The New York Times. October 2</w:t>
      </w:r>
      <w:r w:rsidRPr="00F54764">
        <w:rPr>
          <w:sz w:val="18"/>
          <w:szCs w:val="18"/>
          <w:vertAlign w:val="superscript"/>
          <w:lang w:val="en-US"/>
        </w:rPr>
        <w:t>nd</w:t>
      </w:r>
      <w:r>
        <w:rPr>
          <w:sz w:val="18"/>
          <w:szCs w:val="18"/>
          <w:lang w:val="en-US"/>
        </w:rPr>
        <w:t xml:space="preserve"> 2013.</w:t>
      </w:r>
    </w:p>
  </w:footnote>
  <w:footnote w:id="15">
    <w:p w14:paraId="474BA10C" w14:textId="43FBDFD5" w:rsidR="00141537" w:rsidRPr="0018087D" w:rsidRDefault="00141537">
      <w:pPr>
        <w:pStyle w:val="FootnoteText"/>
        <w:rPr>
          <w:sz w:val="18"/>
          <w:szCs w:val="18"/>
          <w:lang w:val="en-US"/>
        </w:rPr>
      </w:pPr>
      <w:r>
        <w:rPr>
          <w:rStyle w:val="FootnoteReference"/>
        </w:rPr>
        <w:footnoteRef/>
      </w:r>
      <w:r>
        <w:t xml:space="preserve"> </w:t>
      </w:r>
      <w:r w:rsidRPr="0018087D">
        <w:rPr>
          <w:i/>
          <w:sz w:val="18"/>
          <w:szCs w:val="18"/>
          <w:lang w:val="en-US"/>
        </w:rPr>
        <w:t>National Partnership Agreement on Remote Service Delivery Report</w:t>
      </w:r>
      <w:r>
        <w:rPr>
          <w:sz w:val="18"/>
          <w:szCs w:val="18"/>
          <w:lang w:val="en-US"/>
        </w:rPr>
        <w:t xml:space="preserve">. Commonwealth Govt. Canberra August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74"/>
    <w:rsid w:val="00022F63"/>
    <w:rsid w:val="00096FE5"/>
    <w:rsid w:val="000E29BB"/>
    <w:rsid w:val="000F19C8"/>
    <w:rsid w:val="001102C6"/>
    <w:rsid w:val="00117FE0"/>
    <w:rsid w:val="00141537"/>
    <w:rsid w:val="00164240"/>
    <w:rsid w:val="0018087D"/>
    <w:rsid w:val="001B0B31"/>
    <w:rsid w:val="001C0A61"/>
    <w:rsid w:val="002205A5"/>
    <w:rsid w:val="002240C2"/>
    <w:rsid w:val="0023602E"/>
    <w:rsid w:val="00296F33"/>
    <w:rsid w:val="002B1C25"/>
    <w:rsid w:val="00341140"/>
    <w:rsid w:val="00352AA1"/>
    <w:rsid w:val="00365646"/>
    <w:rsid w:val="003A683C"/>
    <w:rsid w:val="003B056A"/>
    <w:rsid w:val="003C7C60"/>
    <w:rsid w:val="00464025"/>
    <w:rsid w:val="004E4D0D"/>
    <w:rsid w:val="00530932"/>
    <w:rsid w:val="00596A89"/>
    <w:rsid w:val="005B5F39"/>
    <w:rsid w:val="00620E52"/>
    <w:rsid w:val="00662045"/>
    <w:rsid w:val="00671674"/>
    <w:rsid w:val="006921FC"/>
    <w:rsid w:val="006E6D1E"/>
    <w:rsid w:val="00713AB6"/>
    <w:rsid w:val="007713BE"/>
    <w:rsid w:val="007B3551"/>
    <w:rsid w:val="007B6C29"/>
    <w:rsid w:val="007F2883"/>
    <w:rsid w:val="00802328"/>
    <w:rsid w:val="008D4D03"/>
    <w:rsid w:val="00900D6F"/>
    <w:rsid w:val="009043EA"/>
    <w:rsid w:val="00923AA6"/>
    <w:rsid w:val="009274FD"/>
    <w:rsid w:val="00956607"/>
    <w:rsid w:val="00976522"/>
    <w:rsid w:val="00995C37"/>
    <w:rsid w:val="009B563E"/>
    <w:rsid w:val="009B72C1"/>
    <w:rsid w:val="009B7D4C"/>
    <w:rsid w:val="009E1D43"/>
    <w:rsid w:val="00A9215E"/>
    <w:rsid w:val="00A94C1C"/>
    <w:rsid w:val="00AB5653"/>
    <w:rsid w:val="00AC2343"/>
    <w:rsid w:val="00B24788"/>
    <w:rsid w:val="00B24B4E"/>
    <w:rsid w:val="00B933DA"/>
    <w:rsid w:val="00BA4601"/>
    <w:rsid w:val="00BF406E"/>
    <w:rsid w:val="00C17C62"/>
    <w:rsid w:val="00C979AF"/>
    <w:rsid w:val="00D14711"/>
    <w:rsid w:val="00D3310A"/>
    <w:rsid w:val="00D51424"/>
    <w:rsid w:val="00D610CF"/>
    <w:rsid w:val="00D91D9E"/>
    <w:rsid w:val="00DC6C51"/>
    <w:rsid w:val="00DD1BCD"/>
    <w:rsid w:val="00E10432"/>
    <w:rsid w:val="00E30075"/>
    <w:rsid w:val="00E35B49"/>
    <w:rsid w:val="00E53AB9"/>
    <w:rsid w:val="00E568FD"/>
    <w:rsid w:val="00E6760D"/>
    <w:rsid w:val="00E83642"/>
    <w:rsid w:val="00E95294"/>
    <w:rsid w:val="00EC0E7F"/>
    <w:rsid w:val="00EC7BFD"/>
    <w:rsid w:val="00F54764"/>
    <w:rsid w:val="00FC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47D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1D9E"/>
  </w:style>
  <w:style w:type="character" w:customStyle="1" w:styleId="FootnoteTextChar">
    <w:name w:val="Footnote Text Char"/>
    <w:basedOn w:val="DefaultParagraphFont"/>
    <w:link w:val="FootnoteText"/>
    <w:uiPriority w:val="99"/>
    <w:rsid w:val="00D91D9E"/>
    <w:rPr>
      <w:sz w:val="24"/>
      <w:szCs w:val="24"/>
      <w:lang w:val="en-AU" w:eastAsia="en-US"/>
    </w:rPr>
  </w:style>
  <w:style w:type="character" w:styleId="FootnoteReference">
    <w:name w:val="footnote reference"/>
    <w:basedOn w:val="DefaultParagraphFont"/>
    <w:uiPriority w:val="99"/>
    <w:unhideWhenUsed/>
    <w:rsid w:val="00D91D9E"/>
    <w:rPr>
      <w:vertAlign w:val="superscript"/>
    </w:rPr>
  </w:style>
  <w:style w:type="character" w:styleId="Hyperlink">
    <w:name w:val="Hyperlink"/>
    <w:basedOn w:val="DefaultParagraphFont"/>
    <w:uiPriority w:val="99"/>
    <w:unhideWhenUsed/>
    <w:rsid w:val="00164240"/>
    <w:rPr>
      <w:color w:val="0000FF" w:themeColor="hyperlink"/>
      <w:u w:val="single"/>
    </w:rPr>
  </w:style>
  <w:style w:type="paragraph" w:styleId="Footer">
    <w:name w:val="footer"/>
    <w:basedOn w:val="Normal"/>
    <w:link w:val="FooterChar"/>
    <w:uiPriority w:val="99"/>
    <w:unhideWhenUsed/>
    <w:rsid w:val="00464025"/>
    <w:pPr>
      <w:tabs>
        <w:tab w:val="center" w:pos="4320"/>
        <w:tab w:val="right" w:pos="8640"/>
      </w:tabs>
    </w:pPr>
  </w:style>
  <w:style w:type="character" w:customStyle="1" w:styleId="FooterChar">
    <w:name w:val="Footer Char"/>
    <w:basedOn w:val="DefaultParagraphFont"/>
    <w:link w:val="Footer"/>
    <w:uiPriority w:val="99"/>
    <w:rsid w:val="00464025"/>
    <w:rPr>
      <w:sz w:val="24"/>
      <w:szCs w:val="24"/>
      <w:lang w:val="en-AU" w:eastAsia="en-US"/>
    </w:rPr>
  </w:style>
  <w:style w:type="character" w:styleId="PageNumber">
    <w:name w:val="page number"/>
    <w:basedOn w:val="DefaultParagraphFont"/>
    <w:uiPriority w:val="99"/>
    <w:semiHidden/>
    <w:unhideWhenUsed/>
    <w:rsid w:val="004640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1D9E"/>
  </w:style>
  <w:style w:type="character" w:customStyle="1" w:styleId="FootnoteTextChar">
    <w:name w:val="Footnote Text Char"/>
    <w:basedOn w:val="DefaultParagraphFont"/>
    <w:link w:val="FootnoteText"/>
    <w:uiPriority w:val="99"/>
    <w:rsid w:val="00D91D9E"/>
    <w:rPr>
      <w:sz w:val="24"/>
      <w:szCs w:val="24"/>
      <w:lang w:val="en-AU" w:eastAsia="en-US"/>
    </w:rPr>
  </w:style>
  <w:style w:type="character" w:styleId="FootnoteReference">
    <w:name w:val="footnote reference"/>
    <w:basedOn w:val="DefaultParagraphFont"/>
    <w:uiPriority w:val="99"/>
    <w:unhideWhenUsed/>
    <w:rsid w:val="00D91D9E"/>
    <w:rPr>
      <w:vertAlign w:val="superscript"/>
    </w:rPr>
  </w:style>
  <w:style w:type="character" w:styleId="Hyperlink">
    <w:name w:val="Hyperlink"/>
    <w:basedOn w:val="DefaultParagraphFont"/>
    <w:uiPriority w:val="99"/>
    <w:unhideWhenUsed/>
    <w:rsid w:val="00164240"/>
    <w:rPr>
      <w:color w:val="0000FF" w:themeColor="hyperlink"/>
      <w:u w:val="single"/>
    </w:rPr>
  </w:style>
  <w:style w:type="paragraph" w:styleId="Footer">
    <w:name w:val="footer"/>
    <w:basedOn w:val="Normal"/>
    <w:link w:val="FooterChar"/>
    <w:uiPriority w:val="99"/>
    <w:unhideWhenUsed/>
    <w:rsid w:val="00464025"/>
    <w:pPr>
      <w:tabs>
        <w:tab w:val="center" w:pos="4320"/>
        <w:tab w:val="right" w:pos="8640"/>
      </w:tabs>
    </w:pPr>
  </w:style>
  <w:style w:type="character" w:customStyle="1" w:styleId="FooterChar">
    <w:name w:val="Footer Char"/>
    <w:basedOn w:val="DefaultParagraphFont"/>
    <w:link w:val="Footer"/>
    <w:uiPriority w:val="99"/>
    <w:rsid w:val="00464025"/>
    <w:rPr>
      <w:sz w:val="24"/>
      <w:szCs w:val="24"/>
      <w:lang w:val="en-AU" w:eastAsia="en-US"/>
    </w:rPr>
  </w:style>
  <w:style w:type="character" w:styleId="PageNumber">
    <w:name w:val="page number"/>
    <w:basedOn w:val="DefaultParagraphFont"/>
    <w:uiPriority w:val="99"/>
    <w:semiHidden/>
    <w:unhideWhenUsed/>
    <w:rsid w:val="0046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indigenousjobsandtrainingreview.dpmc.gov.au/sites/default/files/files/The_Forrest_Review.pdf" TargetMode="External"/><Relationship Id="rId2" Type="http://schemas.openxmlformats.org/officeDocument/2006/relationships/hyperlink" Target="http://www.education.nt.gov.au/__.../Indigenous-Education-Review_DRAFT" TargetMode="External"/><Relationship Id="rId3" Type="http://schemas.openxmlformats.org/officeDocument/2006/relationships/hyperlink" Target="http://www.education.nt.gov.au/__.../Indigenous-Education-Review_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3486</Words>
  <Characters>19871</Characters>
  <Application>Microsoft Macintosh Word</Application>
  <DocSecurity>0</DocSecurity>
  <Lines>165</Lines>
  <Paragraphs>46</Paragraphs>
  <ScaleCrop>false</ScaleCrop>
  <Company>The New Journalism Pty Ltd</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5</cp:revision>
  <cp:lastPrinted>2014-08-05T11:43:00Z</cp:lastPrinted>
  <dcterms:created xsi:type="dcterms:W3CDTF">2014-08-07T06:57:00Z</dcterms:created>
  <dcterms:modified xsi:type="dcterms:W3CDTF">2014-08-18T05:33:00Z</dcterms:modified>
</cp:coreProperties>
</file>